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0E5C84" w:rsidRPr="000E5C84">
        <w:rPr>
          <w:rStyle w:val="s0"/>
        </w:rPr>
        <w:t>Кабель специализированный</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C91338">
              <w:rPr>
                <w:color w:val="auto"/>
              </w:rPr>
              <w:t>1</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8E516F" w:rsidRDefault="006C3ED2" w:rsidP="00C5225E">
            <w:pPr>
              <w:tabs>
                <w:tab w:val="left" w:pos="226"/>
              </w:tabs>
              <w:rPr>
                <w:lang w:val="kk-KZ"/>
              </w:rPr>
            </w:pPr>
            <w:r w:rsidRPr="003E2313">
              <w:t xml:space="preserve">Настоящая техническая спецификация разработана для закупки </w:t>
            </w:r>
            <w:r w:rsidR="008E516F" w:rsidRPr="003E2313">
              <w:rPr>
                <w:rStyle w:val="s0"/>
                <w:lang w:val="en-US"/>
              </w:rPr>
              <w:t>HDMI</w:t>
            </w:r>
            <w:r w:rsidR="008E516F" w:rsidRPr="003E2313">
              <w:rPr>
                <w:rStyle w:val="s0"/>
                <w:lang w:val="kk-KZ"/>
              </w:rPr>
              <w:t xml:space="preserve"> кабеля</w:t>
            </w:r>
            <w:r w:rsidR="006A5E3A" w:rsidRPr="003E2313">
              <w:t xml:space="preserve"> </w:t>
            </w:r>
            <w:r w:rsidR="006A5E3A" w:rsidRPr="003E2313">
              <w:rPr>
                <w:rStyle w:val="s0"/>
              </w:rPr>
              <w:t>(далее – Оборудование)</w:t>
            </w:r>
            <w:r w:rsidR="00C5225E" w:rsidRPr="003E2313">
              <w:rPr>
                <w:rStyle w:val="s0"/>
              </w:rPr>
              <w:t xml:space="preserve">, </w:t>
            </w:r>
            <w:r w:rsidR="001D6BF3" w:rsidRPr="003E2313">
              <w:t>предназначе</w:t>
            </w:r>
            <w:r w:rsidR="00C5225E" w:rsidRPr="003E2313">
              <w:t>н</w:t>
            </w:r>
            <w:r w:rsidR="001D6BF3" w:rsidRPr="003E2313">
              <w:t>н</w:t>
            </w:r>
            <w:r w:rsidR="00C5225E" w:rsidRPr="003E2313">
              <w:t>ого</w:t>
            </w:r>
            <w:r w:rsidR="001D6BF3" w:rsidRPr="003E2313">
              <w:t xml:space="preserve"> для </w:t>
            </w:r>
            <w:r w:rsidR="008E516F" w:rsidRPr="003E2313">
              <w:rPr>
                <w:lang w:val="kk-KZ"/>
              </w:rPr>
              <w:t xml:space="preserve">подключения между собой </w:t>
            </w:r>
            <w:r w:rsidR="00C5225E" w:rsidRPr="003E2313">
              <w:rPr>
                <w:lang w:val="kk-KZ"/>
              </w:rPr>
              <w:t>оборудования и</w:t>
            </w:r>
            <w:r w:rsidR="008E516F" w:rsidRPr="003E2313">
              <w:rPr>
                <w:lang w:val="kk-KZ"/>
              </w:rPr>
              <w:t xml:space="preserve"> получ</w:t>
            </w:r>
            <w:r w:rsidR="00C5225E" w:rsidRPr="003E2313">
              <w:rPr>
                <w:lang w:val="kk-KZ"/>
              </w:rPr>
              <w:t>ения</w:t>
            </w:r>
            <w:r w:rsidR="008E516F" w:rsidRPr="003E2313">
              <w:rPr>
                <w:lang w:val="kk-KZ"/>
              </w:rPr>
              <w:t xml:space="preserve"> </w:t>
            </w:r>
            <w:r w:rsidR="00C5225E" w:rsidRPr="003E2313">
              <w:rPr>
                <w:lang w:val="kk-KZ"/>
              </w:rPr>
              <w:t>высокого</w:t>
            </w:r>
            <w:r w:rsidR="008E516F" w:rsidRPr="003E2313">
              <w:rPr>
                <w:lang w:val="kk-KZ"/>
              </w:rPr>
              <w:t xml:space="preserve"> качество изображения</w:t>
            </w:r>
            <w:r w:rsidR="00C5225E" w:rsidRPr="003E2313">
              <w:rPr>
                <w:lang w:val="kk-KZ"/>
              </w:rPr>
              <w:t>т и</w:t>
            </w:r>
            <w:r w:rsidR="008E516F" w:rsidRPr="003E2313">
              <w:rPr>
                <w:lang w:val="kk-KZ"/>
              </w:rPr>
              <w:t xml:space="preserve"> высок</w:t>
            </w:r>
            <w:r w:rsidR="00C5225E" w:rsidRPr="003E2313">
              <w:rPr>
                <w:lang w:val="kk-KZ"/>
              </w:rPr>
              <w:t>ой</w:t>
            </w:r>
            <w:r w:rsidR="008E516F" w:rsidRPr="003E2313">
              <w:rPr>
                <w:lang w:val="kk-KZ"/>
              </w:rPr>
              <w:t xml:space="preserve"> скорость передачи данных</w:t>
            </w:r>
            <w:r w:rsidR="008E516F" w:rsidRPr="003E2313">
              <w:t>.</w:t>
            </w:r>
            <w:r w:rsidR="008E516F">
              <w:rPr>
                <w:lang w:val="kk-KZ"/>
              </w:rPr>
              <w:t xml:space="preserve"> </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 xml:space="preserve">СОСТАВ </w:t>
            </w:r>
            <w:r w:rsidR="00CE76FF" w:rsidRPr="00CB172E">
              <w:t>ОБОРУДОВАНИЯ</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A06B11">
              <w:rPr>
                <w:rStyle w:val="s0"/>
                <w:lang w:val="en-US"/>
              </w:rPr>
              <w:t>HDMI</w:t>
            </w:r>
            <w:r w:rsidR="00A06B11">
              <w:rPr>
                <w:rStyle w:val="s0"/>
                <w:lang w:val="kk-KZ"/>
              </w:rPr>
              <w:t xml:space="preserve"> кабель</w:t>
            </w:r>
            <w:r w:rsidR="00A06B11" w:rsidRPr="00CB172E">
              <w:t xml:space="preserve"> </w:t>
            </w:r>
            <w:r w:rsidRPr="00CB172E">
              <w:rPr>
                <w:rFonts w:cs="Arial"/>
              </w:rPr>
              <w:t>–</w:t>
            </w:r>
            <w:r w:rsidR="00A769C0" w:rsidRPr="00CB172E">
              <w:rPr>
                <w:rFonts w:cs="Arial"/>
              </w:rPr>
              <w:t xml:space="preserve"> </w:t>
            </w:r>
            <w:r w:rsidR="001D6BF3">
              <w:t>1</w:t>
            </w:r>
            <w:r w:rsidRPr="00CB172E">
              <w:t xml:space="preserve"> шт.</w:t>
            </w:r>
            <w:r w:rsidRPr="00CB172E">
              <w:rPr>
                <w:rFonts w:cs="Arial"/>
              </w:rPr>
              <w:t>;</w:t>
            </w:r>
          </w:p>
          <w:p w:rsidR="000A2106" w:rsidRPr="00CB172E" w:rsidRDefault="008A27A3" w:rsidP="007D6E11">
            <w:pPr>
              <w:tabs>
                <w:tab w:val="left" w:pos="1134"/>
              </w:tabs>
              <w:ind w:right="-1"/>
              <w:jc w:val="both"/>
              <w:rPr>
                <w:color w:val="auto"/>
              </w:rPr>
            </w:pPr>
            <w:r w:rsidRPr="00CB172E">
              <w:rPr>
                <w:rFonts w:cs="Arial"/>
              </w:rPr>
              <w:t>2</w:t>
            </w:r>
            <w:r w:rsidR="00447FCB" w:rsidRPr="00CB172E">
              <w:rPr>
                <w:rFonts w:cs="Arial"/>
              </w:rPr>
              <w:t xml:space="preserve">) </w:t>
            </w:r>
            <w:r w:rsidR="002063FC" w:rsidRPr="00CB172E">
              <w:rPr>
                <w:color w:val="auto"/>
              </w:rPr>
              <w:t>к</w:t>
            </w:r>
            <w:r w:rsidR="000A2106" w:rsidRPr="00CB172E">
              <w:rPr>
                <w:color w:val="auto"/>
              </w:rPr>
              <w:t xml:space="preserve">омплект документации </w:t>
            </w:r>
            <w:r w:rsidR="00A57587" w:rsidRPr="00CB172E">
              <w:rPr>
                <w:color w:val="auto"/>
              </w:rPr>
              <w:t xml:space="preserve">на бумажном носителе </w:t>
            </w:r>
            <w:r w:rsidR="000A2106" w:rsidRPr="00CB172E">
              <w:rPr>
                <w:color w:val="auto"/>
              </w:rPr>
              <w:t>–</w:t>
            </w:r>
            <w:r w:rsidR="001D6BF3">
              <w:rPr>
                <w:color w:val="auto"/>
              </w:rPr>
              <w:t xml:space="preserve"> 1</w:t>
            </w:r>
            <w:r w:rsidR="000A2106" w:rsidRPr="00CB172E">
              <w:rPr>
                <w:color w:val="auto"/>
              </w:rPr>
              <w:t xml:space="preserve"> шт.;</w:t>
            </w:r>
          </w:p>
          <w:p w:rsidR="001D6BF3" w:rsidRPr="00CB172E" w:rsidRDefault="00A06B11" w:rsidP="00A06B11">
            <w:pPr>
              <w:tabs>
                <w:tab w:val="left" w:pos="1134"/>
              </w:tabs>
              <w:ind w:right="-1"/>
              <w:jc w:val="both"/>
            </w:pPr>
            <w:r>
              <w:rPr>
                <w:rFonts w:cs="Arial"/>
              </w:rPr>
              <w:t>3</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E0D4C" w:rsidRPr="00CB172E" w:rsidRDefault="00A06B11" w:rsidP="00C5225E">
            <w:r w:rsidRPr="00724D46">
              <w:rPr>
                <w:color w:val="auto"/>
              </w:rPr>
              <w:t xml:space="preserve">Оборудование </w:t>
            </w:r>
            <w:r w:rsidRPr="00724D46">
              <w:t>должно быть новым (не бывшим в эксплуатации) и поставляться в упаковке и т.д., без нарушения целостности</w:t>
            </w:r>
            <w:r w:rsidR="00C5225E">
              <w:t>.</w:t>
            </w:r>
            <w:r w:rsidR="00865031" w:rsidRPr="00CB172E">
              <w:t xml:space="preserve"> </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B24F3A" w:rsidRPr="00C5225E" w:rsidRDefault="008646E1" w:rsidP="00B24F3A">
            <w:pPr>
              <w:tabs>
                <w:tab w:val="left" w:pos="226"/>
              </w:tabs>
            </w:pPr>
            <w:r w:rsidRPr="008646E1">
              <w:t>Тип</w:t>
            </w:r>
            <w:r w:rsidRPr="00C5225E">
              <w:t xml:space="preserve"> </w:t>
            </w:r>
            <w:r w:rsidRPr="008646E1">
              <w:t>кабеля</w:t>
            </w:r>
            <w:r w:rsidR="00B24F3A" w:rsidRPr="00C5225E">
              <w:t xml:space="preserve">: </w:t>
            </w:r>
            <w:r w:rsidRPr="006A6BDD">
              <w:rPr>
                <w:lang w:val="en-US"/>
              </w:rPr>
              <w:t>HDMI</w:t>
            </w:r>
            <w:r w:rsidRPr="00C5225E">
              <w:t xml:space="preserve"> - </w:t>
            </w:r>
            <w:r w:rsidRPr="006A6BDD">
              <w:rPr>
                <w:lang w:val="en-US"/>
              </w:rPr>
              <w:t>HDMI</w:t>
            </w:r>
            <w:r w:rsidR="006A6BDD" w:rsidRPr="00C5225E">
              <w:t xml:space="preserve"> (</w:t>
            </w:r>
            <w:r w:rsidR="006A6BDD" w:rsidRPr="006A6BDD">
              <w:rPr>
                <w:lang w:val="en-US"/>
              </w:rPr>
              <w:t>Type</w:t>
            </w:r>
            <w:r w:rsidR="006A6BDD" w:rsidRPr="00C5225E">
              <w:t xml:space="preserve"> </w:t>
            </w:r>
            <w:r w:rsidR="006A6BDD" w:rsidRPr="006A6BDD">
              <w:rPr>
                <w:lang w:val="en-US"/>
              </w:rPr>
              <w:t>A</w:t>
            </w:r>
            <w:r w:rsidR="006A6BDD" w:rsidRPr="00C5225E">
              <w:t>)</w:t>
            </w:r>
            <w:r w:rsidR="001A3557" w:rsidRPr="00C5225E">
              <w:t>.</w:t>
            </w:r>
          </w:p>
          <w:p w:rsidR="00B24F3A" w:rsidRDefault="008646E1" w:rsidP="00B24F3A">
            <w:pPr>
              <w:jc w:val="both"/>
              <w:textAlignment w:val="top"/>
              <w:outlineLvl w:val="2"/>
            </w:pPr>
            <w:r w:rsidRPr="008646E1">
              <w:t>Длина кабеля</w:t>
            </w:r>
            <w:r w:rsidR="00B24F3A">
              <w:t xml:space="preserve">: не </w:t>
            </w:r>
            <w:r>
              <w:t>менее 20</w:t>
            </w:r>
            <w:r w:rsidR="00B24F3A">
              <w:t xml:space="preserve"> </w:t>
            </w:r>
            <w:r>
              <w:t>м</w:t>
            </w:r>
            <w:r w:rsidR="00C5225E">
              <w:t>етров</w:t>
            </w:r>
            <w:r w:rsidR="00B24F3A">
              <w:t>;</w:t>
            </w:r>
          </w:p>
          <w:p w:rsidR="003B3C9A" w:rsidRPr="003B3C9A" w:rsidRDefault="003B3C9A" w:rsidP="00B24F3A">
            <w:pPr>
              <w:jc w:val="both"/>
              <w:textAlignment w:val="top"/>
              <w:outlineLvl w:val="2"/>
            </w:pPr>
            <w:r w:rsidRPr="003B3C9A">
              <w:rPr>
                <w:lang w:val="kk-KZ"/>
              </w:rPr>
              <w:t>Контакты</w:t>
            </w:r>
            <w:r>
              <w:rPr>
                <w:lang w:val="kk-KZ"/>
              </w:rPr>
              <w:t>:</w:t>
            </w:r>
            <w:r w:rsidRPr="003B3C9A">
              <w:rPr>
                <w:lang w:val="kk-KZ"/>
              </w:rPr>
              <w:t xml:space="preserve"> с золотым напылением</w:t>
            </w:r>
            <w:r>
              <w:t>;</w:t>
            </w:r>
          </w:p>
          <w:p w:rsidR="00B24F3A" w:rsidRDefault="008646E1" w:rsidP="00B24F3A">
            <w:pPr>
              <w:jc w:val="both"/>
              <w:textAlignment w:val="top"/>
              <w:outlineLvl w:val="2"/>
            </w:pPr>
            <w:r w:rsidRPr="008646E1">
              <w:t>Особенности</w:t>
            </w:r>
            <w:r w:rsidR="00B24F3A">
              <w:t xml:space="preserve">: </w:t>
            </w:r>
            <w:r w:rsidRPr="008646E1">
              <w:t>Поддержка разрешения 2K x 4K</w:t>
            </w:r>
            <w:r w:rsidR="00B24F3A">
              <w:t>;</w:t>
            </w:r>
          </w:p>
          <w:p w:rsidR="00B24F3A" w:rsidRDefault="008646E1" w:rsidP="00B24F3A">
            <w:pPr>
              <w:jc w:val="both"/>
              <w:textAlignment w:val="top"/>
              <w:outlineLvl w:val="2"/>
            </w:pPr>
            <w:r>
              <w:rPr>
                <w:lang w:val="kk-KZ"/>
              </w:rPr>
              <w:t>П</w:t>
            </w:r>
            <w:proofErr w:type="spellStart"/>
            <w:r w:rsidR="006A6BDD">
              <w:t>ропускн</w:t>
            </w:r>
            <w:proofErr w:type="spellEnd"/>
            <w:r w:rsidR="006A6BDD">
              <w:rPr>
                <w:lang w:val="kk-KZ"/>
              </w:rPr>
              <w:t>ая</w:t>
            </w:r>
            <w:r w:rsidRPr="008646E1">
              <w:t xml:space="preserve"> способность</w:t>
            </w:r>
            <w:r w:rsidR="00B24F3A">
              <w:t xml:space="preserve">: </w:t>
            </w:r>
            <w:r w:rsidR="006A6BDD">
              <w:t xml:space="preserve">от </w:t>
            </w:r>
            <w:r w:rsidR="003B3C9A">
              <w:rPr>
                <w:lang w:val="kk-KZ"/>
              </w:rPr>
              <w:t>10,2</w:t>
            </w:r>
            <w:r w:rsidR="006A6BDD" w:rsidRPr="006A6BDD">
              <w:t xml:space="preserve"> </w:t>
            </w:r>
            <w:r w:rsidR="003B3C9A">
              <w:t xml:space="preserve">до </w:t>
            </w:r>
            <w:r w:rsidR="003B3C9A">
              <w:rPr>
                <w:lang w:val="kk-KZ"/>
              </w:rPr>
              <w:t>18</w:t>
            </w:r>
            <w:r w:rsidR="003B3C9A">
              <w:t xml:space="preserve"> Гбит/с (HDMI 2.</w:t>
            </w:r>
            <w:r w:rsidR="003B3C9A">
              <w:rPr>
                <w:lang w:val="kk-KZ"/>
              </w:rPr>
              <w:t>0</w:t>
            </w:r>
            <w:r w:rsidR="006A6BDD" w:rsidRPr="006A6BDD">
              <w:t>)</w:t>
            </w:r>
            <w:r w:rsidR="00B24F3A">
              <w:t>;</w:t>
            </w:r>
          </w:p>
          <w:p w:rsidR="003E2313" w:rsidRDefault="003E2313" w:rsidP="00B24F3A">
            <w:pPr>
              <w:jc w:val="both"/>
              <w:textAlignment w:val="top"/>
              <w:outlineLvl w:val="2"/>
              <w:rPr>
                <w:lang w:val="kk-KZ"/>
              </w:rPr>
            </w:pPr>
            <w:r>
              <w:t>Версия: не ниже 2.0</w:t>
            </w:r>
          </w:p>
          <w:p w:rsidR="003B3C9A" w:rsidRDefault="003B3C9A" w:rsidP="003B3C9A">
            <w:pPr>
              <w:jc w:val="both"/>
              <w:textAlignment w:val="top"/>
              <w:outlineLvl w:val="2"/>
              <w:rPr>
                <w:lang w:val="kk-KZ"/>
              </w:rPr>
            </w:pPr>
            <w:r w:rsidRPr="003B3C9A">
              <w:rPr>
                <w:lang w:val="kk-KZ"/>
              </w:rPr>
              <w:t>Максимальная скорость передачи данных</w:t>
            </w:r>
            <w:r>
              <w:rPr>
                <w:lang w:val="kk-KZ"/>
              </w:rPr>
              <w:t>:</w:t>
            </w:r>
            <w:r>
              <w:t xml:space="preserve"> </w:t>
            </w:r>
            <w:r>
              <w:rPr>
                <w:lang w:val="kk-KZ"/>
              </w:rPr>
              <w:t xml:space="preserve">от </w:t>
            </w:r>
            <w:r>
              <w:t>8</w:t>
            </w:r>
            <w:r>
              <w:rPr>
                <w:lang w:val="kk-KZ"/>
              </w:rPr>
              <w:t>,</w:t>
            </w:r>
            <w:r w:rsidRPr="003B3C9A">
              <w:t xml:space="preserve">16 </w:t>
            </w:r>
            <w:r>
              <w:t xml:space="preserve">Гбит/с до </w:t>
            </w:r>
            <w:r>
              <w:rPr>
                <w:lang w:val="kk-KZ"/>
              </w:rPr>
              <w:t>14,4</w:t>
            </w:r>
            <w:r>
              <w:t xml:space="preserve"> Гбит/с;</w:t>
            </w:r>
          </w:p>
          <w:p w:rsidR="00B24F3A" w:rsidRDefault="006A6BDD" w:rsidP="00B24F3A">
            <w:pPr>
              <w:jc w:val="both"/>
              <w:textAlignment w:val="top"/>
              <w:outlineLvl w:val="2"/>
            </w:pPr>
            <w:r>
              <w:rPr>
                <w:lang w:val="kk-KZ"/>
              </w:rPr>
              <w:t>З</w:t>
            </w:r>
            <w:proofErr w:type="spellStart"/>
            <w:r>
              <w:t>ащит</w:t>
            </w:r>
            <w:proofErr w:type="spellEnd"/>
            <w:r>
              <w:rPr>
                <w:lang w:val="kk-KZ"/>
              </w:rPr>
              <w:t>а</w:t>
            </w:r>
            <w:r w:rsidRPr="006A6BDD">
              <w:t xml:space="preserve"> от помех</w:t>
            </w:r>
            <w:r w:rsidR="00B24F3A">
              <w:t xml:space="preserve">: </w:t>
            </w:r>
            <w:r>
              <w:rPr>
                <w:lang w:val="kk-KZ"/>
              </w:rPr>
              <w:t>да</w:t>
            </w:r>
            <w:r w:rsidR="00B24F3A">
              <w:t>;</w:t>
            </w:r>
          </w:p>
          <w:p w:rsidR="00B24F3A" w:rsidRDefault="006A6BDD" w:rsidP="00B24F3A">
            <w:pPr>
              <w:jc w:val="both"/>
              <w:textAlignment w:val="top"/>
              <w:outlineLvl w:val="2"/>
            </w:pPr>
            <w:r>
              <w:rPr>
                <w:lang w:val="kk-KZ"/>
              </w:rPr>
              <w:t>П</w:t>
            </w:r>
            <w:proofErr w:type="spellStart"/>
            <w:r w:rsidRPr="006A6BDD">
              <w:t>оддержка</w:t>
            </w:r>
            <w:proofErr w:type="spellEnd"/>
            <w:r w:rsidRPr="006A6BDD">
              <w:t xml:space="preserve"> аудиоканалов</w:t>
            </w:r>
            <w:r w:rsidR="00B24F3A">
              <w:t xml:space="preserve">: </w:t>
            </w:r>
            <w:r>
              <w:rPr>
                <w:lang w:val="kk-KZ"/>
              </w:rPr>
              <w:t>да</w:t>
            </w:r>
            <w:r w:rsidR="00B24F3A">
              <w:t>;</w:t>
            </w:r>
          </w:p>
          <w:p w:rsidR="00F13CC2" w:rsidRPr="00CB172E" w:rsidRDefault="00022BF7" w:rsidP="00F13CC2">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t>нижняя граница: от 0</w:t>
            </w:r>
            <w:r w:rsidRPr="00CB172E">
              <w:rPr>
                <w:color w:val="auto"/>
              </w:rPr>
              <w:t>°C;</w:t>
            </w:r>
          </w:p>
          <w:p w:rsidR="002C7623" w:rsidRPr="00CB172E" w:rsidRDefault="002C7623" w:rsidP="002C7623">
            <w:pPr>
              <w:tabs>
                <w:tab w:val="left" w:pos="226"/>
              </w:tabs>
              <w:rPr>
                <w:color w:val="auto"/>
              </w:rPr>
            </w:pPr>
            <w:r w:rsidRPr="00CB172E">
              <w:rPr>
                <w:color w:val="auto"/>
              </w:rPr>
              <w:lastRenderedPageBreak/>
              <w:t>верхняя граница: до +</w:t>
            </w:r>
            <w:r>
              <w:rPr>
                <w:color w:val="auto"/>
              </w:rPr>
              <w:t>55</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Pr>
                <w:color w:val="auto"/>
              </w:rPr>
              <w:t>40</w:t>
            </w:r>
            <w:r w:rsidRPr="00CB172E">
              <w:rPr>
                <w:color w:val="auto"/>
              </w:rPr>
              <w:t>°C;</w:t>
            </w:r>
          </w:p>
          <w:p w:rsidR="00671A95" w:rsidRPr="00CB172E" w:rsidRDefault="002C7623" w:rsidP="002C7623">
            <w:pPr>
              <w:tabs>
                <w:tab w:val="left" w:pos="226"/>
              </w:tabs>
            </w:pPr>
            <w:r w:rsidRPr="00CB172E">
              <w:rPr>
                <w:color w:val="auto"/>
              </w:rPr>
              <w:t>в</w:t>
            </w:r>
            <w:r>
              <w:rPr>
                <w:color w:val="auto"/>
              </w:rPr>
              <w:t>ерхняя граница: до +60</w:t>
            </w:r>
            <w:r w:rsidRPr="00CB172E">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Комплект документации должен содержать (не ограничиваясь нижеперечисленным):</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022166" w:rsidRPr="00CB172E" w:rsidRDefault="00022166" w:rsidP="00022166">
      <w:pPr>
        <w:spacing w:after="200" w:line="276" w:lineRule="auto"/>
        <w:rPr>
          <w:b/>
          <w:color w:val="auto"/>
        </w:rPr>
      </w:pPr>
      <w:r w:rsidRPr="00CB172E">
        <w:rPr>
          <w:b/>
          <w:color w:val="auto"/>
        </w:rPr>
        <w:t>Заместитель Председателя Правления – Технический директор                                                            ______________   Затилда К. Ж.</w:t>
      </w:r>
    </w:p>
    <w:p w:rsidR="00D97D3C" w:rsidRPr="00CB172E" w:rsidRDefault="00022166" w:rsidP="00022166">
      <w:pPr>
        <w:spacing w:after="200" w:line="276" w:lineRule="auto"/>
      </w:pPr>
      <w:r w:rsidRPr="00CB172E">
        <w:rPr>
          <w:b/>
          <w:color w:val="auto"/>
        </w:rPr>
        <w:t>Директор ДНСТ                                                                                                                                                  ______________   Шамшатов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8973C3">
        <w:rPr>
          <w:rStyle w:val="s0"/>
        </w:rPr>
        <w:t>«</w:t>
      </w:r>
      <w:proofErr w:type="spellStart"/>
      <w:r w:rsidR="000E5C84" w:rsidRPr="002253E7">
        <w:rPr>
          <w:rStyle w:val="s0"/>
        </w:rPr>
        <w:t>Мамандандырылған</w:t>
      </w:r>
      <w:proofErr w:type="spellEnd"/>
      <w:r w:rsidR="000E5C84" w:rsidRPr="002253E7">
        <w:rPr>
          <w:rStyle w:val="s0"/>
        </w:rPr>
        <w:t xml:space="preserve"> кабель</w:t>
      </w:r>
      <w:r w:rsidR="008973C3">
        <w:rPr>
          <w:rStyle w:val="s0"/>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2"/>
        <w:gridCol w:w="11844"/>
      </w:tblGrid>
      <w:tr w:rsidR="001B5324" w:rsidRPr="002253E7" w:rsidTr="0043742D">
        <w:trPr>
          <w:jc w:val="center"/>
        </w:trPr>
        <w:tc>
          <w:tcPr>
            <w:tcW w:w="2942" w:type="dxa"/>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11844" w:type="dxa"/>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43742D">
        <w:trPr>
          <w:jc w:val="center"/>
        </w:trPr>
        <w:tc>
          <w:tcPr>
            <w:tcW w:w="2942" w:type="dxa"/>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11844" w:type="dxa"/>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43742D">
        <w:trPr>
          <w:jc w:val="center"/>
        </w:trPr>
        <w:tc>
          <w:tcPr>
            <w:tcW w:w="2942" w:type="dxa"/>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11844" w:type="dxa"/>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43742D">
        <w:trPr>
          <w:jc w:val="center"/>
        </w:trPr>
        <w:tc>
          <w:tcPr>
            <w:tcW w:w="2942" w:type="dxa"/>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11844" w:type="dxa"/>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43742D">
        <w:trPr>
          <w:jc w:val="center"/>
        </w:trPr>
        <w:tc>
          <w:tcPr>
            <w:tcW w:w="2942" w:type="dxa"/>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11844" w:type="dxa"/>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43742D">
        <w:trPr>
          <w:jc w:val="center"/>
        </w:trPr>
        <w:tc>
          <w:tcPr>
            <w:tcW w:w="2942" w:type="dxa"/>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11844" w:type="dxa"/>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43742D">
        <w:trPr>
          <w:jc w:val="center"/>
        </w:trPr>
        <w:tc>
          <w:tcPr>
            <w:tcW w:w="2942" w:type="dxa"/>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11844" w:type="dxa"/>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43742D">
        <w:trPr>
          <w:jc w:val="center"/>
        </w:trPr>
        <w:tc>
          <w:tcPr>
            <w:tcW w:w="2942" w:type="dxa"/>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11844" w:type="dxa"/>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43742D">
        <w:trPr>
          <w:jc w:val="center"/>
        </w:trPr>
        <w:tc>
          <w:tcPr>
            <w:tcW w:w="2942" w:type="dxa"/>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11844" w:type="dxa"/>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43742D">
        <w:trPr>
          <w:jc w:val="center"/>
        </w:trPr>
        <w:tc>
          <w:tcPr>
            <w:tcW w:w="2942" w:type="dxa"/>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11844" w:type="dxa"/>
            <w:tcMar>
              <w:top w:w="0" w:type="dxa"/>
              <w:left w:w="108" w:type="dxa"/>
              <w:bottom w:w="0" w:type="dxa"/>
              <w:right w:w="108" w:type="dxa"/>
            </w:tcMar>
            <w:hideMark/>
          </w:tcPr>
          <w:p w:rsidR="001B5324" w:rsidRPr="00CB172E" w:rsidRDefault="001B5324" w:rsidP="001B5324">
            <w:pPr>
              <w:rPr>
                <w:color w:val="auto"/>
                <w:lang w:val="kk-KZ"/>
              </w:rPr>
            </w:pPr>
          </w:p>
        </w:tc>
      </w:tr>
      <w:tr w:rsidR="001B5324" w:rsidRPr="002253E7" w:rsidTr="0043742D">
        <w:trPr>
          <w:jc w:val="center"/>
        </w:trPr>
        <w:tc>
          <w:tcPr>
            <w:tcW w:w="2942" w:type="dxa"/>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11844" w:type="dxa"/>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43742D">
        <w:trPr>
          <w:jc w:val="center"/>
        </w:trPr>
        <w:tc>
          <w:tcPr>
            <w:tcW w:w="2942" w:type="dxa"/>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11844" w:type="dxa"/>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43742D">
        <w:trPr>
          <w:jc w:val="center"/>
        </w:trPr>
        <w:tc>
          <w:tcPr>
            <w:tcW w:w="2942" w:type="dxa"/>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11844" w:type="dxa"/>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2253E7" w:rsidTr="0043742D">
        <w:trPr>
          <w:trHeight w:val="922"/>
          <w:jc w:val="center"/>
        </w:trPr>
        <w:tc>
          <w:tcPr>
            <w:tcW w:w="2942" w:type="dxa"/>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11844" w:type="dxa"/>
            <w:tcMar>
              <w:top w:w="0" w:type="dxa"/>
              <w:left w:w="108" w:type="dxa"/>
              <w:bottom w:w="0" w:type="dxa"/>
              <w:right w:w="108" w:type="dxa"/>
            </w:tcMar>
          </w:tcPr>
          <w:p w:rsidR="00AE1617" w:rsidRPr="008973C3" w:rsidRDefault="00AE1617" w:rsidP="00CD0DAA">
            <w:pPr>
              <w:tabs>
                <w:tab w:val="left" w:pos="226"/>
              </w:tabs>
              <w:rPr>
                <w:lang w:val="kk-KZ"/>
              </w:rPr>
            </w:pPr>
            <w:r w:rsidRPr="008973C3">
              <w:rPr>
                <w:b/>
                <w:lang w:val="kk-KZ"/>
              </w:rPr>
              <w:t>1</w:t>
            </w:r>
            <w:r w:rsidRPr="008973C3">
              <w:rPr>
                <w:lang w:val="kk-KZ"/>
              </w:rPr>
              <w:t>. КІРІСПЕ</w:t>
            </w:r>
          </w:p>
          <w:p w:rsidR="008973C3" w:rsidRPr="008973C3" w:rsidRDefault="008973C3" w:rsidP="004932BD">
            <w:pPr>
              <w:rPr>
                <w:color w:val="auto"/>
                <w:lang w:val="kk-KZ"/>
              </w:rPr>
            </w:pPr>
            <w:r w:rsidRPr="008973C3">
              <w:rPr>
                <w:color w:val="auto"/>
                <w:lang w:val="kk-KZ"/>
              </w:rPr>
              <w:t>Бұл техникалық сипаттама HDMI кабелін (бұдан әрі – жабдық</w:t>
            </w:r>
            <w:r w:rsidR="002253E7">
              <w:rPr>
                <w:color w:val="auto"/>
                <w:lang w:val="kk-KZ"/>
              </w:rPr>
              <w:t>) сатып алуға арналған, жабдықты</w:t>
            </w:r>
            <w:r w:rsidRPr="008973C3">
              <w:rPr>
                <w:color w:val="auto"/>
                <w:lang w:val="kk-KZ"/>
              </w:rPr>
              <w:t xml:space="preserve"> бір-біріне қосуға және жоғары сапалы кескін мен жоғары жылдамдықты деректерді алуға арналған.</w:t>
            </w:r>
          </w:p>
        </w:tc>
      </w:tr>
      <w:tr w:rsidR="00AE1617" w:rsidRPr="008973C3" w:rsidTr="0043742D">
        <w:trPr>
          <w:trHeight w:val="1175"/>
          <w:jc w:val="center"/>
        </w:trPr>
        <w:tc>
          <w:tcPr>
            <w:tcW w:w="2942" w:type="dxa"/>
            <w:vMerge/>
            <w:tcMar>
              <w:top w:w="0" w:type="dxa"/>
              <w:left w:w="108" w:type="dxa"/>
              <w:bottom w:w="0" w:type="dxa"/>
              <w:right w:w="108" w:type="dxa"/>
            </w:tcMar>
          </w:tcPr>
          <w:p w:rsidR="00AE1617" w:rsidRPr="00CB172E" w:rsidRDefault="00AE1617" w:rsidP="001B5324">
            <w:pPr>
              <w:textAlignment w:val="baseline"/>
              <w:rPr>
                <w:lang w:val="kk-KZ"/>
              </w:rPr>
            </w:pPr>
          </w:p>
        </w:tc>
        <w:tc>
          <w:tcPr>
            <w:tcW w:w="11844" w:type="dxa"/>
            <w:tcMar>
              <w:top w:w="0" w:type="dxa"/>
              <w:left w:w="108" w:type="dxa"/>
              <w:bottom w:w="0" w:type="dxa"/>
              <w:right w:w="108" w:type="dxa"/>
            </w:tcMar>
          </w:tcPr>
          <w:p w:rsidR="00AE1617" w:rsidRPr="008973C3" w:rsidRDefault="00AE1617" w:rsidP="00CD0DAA">
            <w:pPr>
              <w:tabs>
                <w:tab w:val="left" w:pos="226"/>
              </w:tabs>
              <w:rPr>
                <w:lang w:val="kk-KZ"/>
              </w:rPr>
            </w:pPr>
            <w:r w:rsidRPr="008973C3">
              <w:rPr>
                <w:b/>
                <w:lang w:val="kk-KZ"/>
              </w:rPr>
              <w:t>2</w:t>
            </w:r>
            <w:r w:rsidRPr="008973C3">
              <w:rPr>
                <w:lang w:val="kk-KZ"/>
              </w:rPr>
              <w:t>. ЖАБДЫҚ ҚҰРАМЫ:</w:t>
            </w:r>
          </w:p>
          <w:p w:rsidR="008973C3" w:rsidRPr="008973C3" w:rsidRDefault="008973C3" w:rsidP="008973C3">
            <w:pPr>
              <w:tabs>
                <w:tab w:val="left" w:pos="1134"/>
              </w:tabs>
              <w:ind w:right="-1"/>
              <w:jc w:val="both"/>
              <w:rPr>
                <w:rFonts w:cs="Arial"/>
                <w:lang w:val="kk-KZ"/>
              </w:rPr>
            </w:pPr>
            <w:r w:rsidRPr="008973C3">
              <w:rPr>
                <w:rFonts w:cs="Arial"/>
                <w:lang w:val="kk-KZ"/>
              </w:rPr>
              <w:t>1) HDMI кабелі-1 дана.;</w:t>
            </w:r>
          </w:p>
          <w:p w:rsidR="008973C3" w:rsidRPr="008973C3" w:rsidRDefault="008973C3" w:rsidP="008973C3">
            <w:pPr>
              <w:tabs>
                <w:tab w:val="left" w:pos="1134"/>
              </w:tabs>
              <w:ind w:right="-1"/>
              <w:jc w:val="both"/>
              <w:rPr>
                <w:rFonts w:cs="Arial"/>
                <w:lang w:val="kk-KZ"/>
              </w:rPr>
            </w:pPr>
            <w:r w:rsidRPr="008973C3">
              <w:rPr>
                <w:rFonts w:cs="Arial"/>
                <w:lang w:val="kk-KZ"/>
              </w:rPr>
              <w:t>2) қағаз тасығыштағы құжаттама жиынтығы-1 дана.;</w:t>
            </w:r>
          </w:p>
          <w:p w:rsidR="00AE1617" w:rsidRPr="00E43CE7" w:rsidRDefault="008973C3" w:rsidP="008973C3">
            <w:pPr>
              <w:tabs>
                <w:tab w:val="left" w:pos="226"/>
              </w:tabs>
              <w:rPr>
                <w:highlight w:val="yellow"/>
                <w:lang w:val="kk-KZ"/>
              </w:rPr>
            </w:pPr>
            <w:r w:rsidRPr="008973C3">
              <w:rPr>
                <w:rFonts w:cs="Arial"/>
              </w:rPr>
              <w:t xml:space="preserve">3) </w:t>
            </w:r>
            <w:proofErr w:type="spellStart"/>
            <w:r w:rsidRPr="008973C3">
              <w:rPr>
                <w:rFonts w:cs="Arial"/>
              </w:rPr>
              <w:t>стандартты</w:t>
            </w:r>
            <w:proofErr w:type="spellEnd"/>
            <w:r w:rsidRPr="008973C3">
              <w:rPr>
                <w:rFonts w:cs="Arial"/>
              </w:rPr>
              <w:t xml:space="preserve"> </w:t>
            </w:r>
            <w:proofErr w:type="spellStart"/>
            <w:r w:rsidRPr="008973C3">
              <w:rPr>
                <w:rFonts w:cs="Arial"/>
              </w:rPr>
              <w:t>зауыттық</w:t>
            </w:r>
            <w:proofErr w:type="spellEnd"/>
            <w:r w:rsidRPr="008973C3">
              <w:rPr>
                <w:rFonts w:cs="Arial"/>
              </w:rPr>
              <w:t xml:space="preserve"> </w:t>
            </w:r>
            <w:proofErr w:type="spellStart"/>
            <w:r w:rsidRPr="008973C3">
              <w:rPr>
                <w:rFonts w:cs="Arial"/>
              </w:rPr>
              <w:t>орау</w:t>
            </w:r>
            <w:proofErr w:type="spellEnd"/>
            <w:r w:rsidRPr="008973C3">
              <w:rPr>
                <w:rFonts w:cs="Arial"/>
              </w:rPr>
              <w:t>.</w:t>
            </w:r>
          </w:p>
        </w:tc>
      </w:tr>
      <w:tr w:rsidR="00AE1617" w:rsidRPr="002253E7" w:rsidTr="009E63E9">
        <w:trPr>
          <w:trHeight w:val="278"/>
          <w:jc w:val="center"/>
        </w:trPr>
        <w:tc>
          <w:tcPr>
            <w:tcW w:w="2942" w:type="dxa"/>
            <w:vMerge/>
            <w:tcMar>
              <w:top w:w="0" w:type="dxa"/>
              <w:left w:w="108" w:type="dxa"/>
              <w:bottom w:w="0" w:type="dxa"/>
              <w:right w:w="108" w:type="dxa"/>
            </w:tcMar>
          </w:tcPr>
          <w:p w:rsidR="00AE1617" w:rsidRPr="00CB172E" w:rsidRDefault="00AE1617" w:rsidP="001B5324">
            <w:pPr>
              <w:textAlignment w:val="baseline"/>
              <w:rPr>
                <w:lang w:val="kk-KZ"/>
              </w:rPr>
            </w:pPr>
          </w:p>
        </w:tc>
        <w:tc>
          <w:tcPr>
            <w:tcW w:w="11844" w:type="dxa"/>
            <w:tcMar>
              <w:top w:w="0" w:type="dxa"/>
              <w:left w:w="108" w:type="dxa"/>
              <w:bottom w:w="0" w:type="dxa"/>
              <w:right w:w="108" w:type="dxa"/>
            </w:tcMar>
          </w:tcPr>
          <w:p w:rsidR="00AE1617" w:rsidRPr="008973C3" w:rsidRDefault="00AE1617" w:rsidP="00CD0DAA">
            <w:pPr>
              <w:tabs>
                <w:tab w:val="left" w:pos="226"/>
              </w:tabs>
              <w:rPr>
                <w:lang w:val="kk-KZ"/>
              </w:rPr>
            </w:pPr>
            <w:r w:rsidRPr="008973C3">
              <w:rPr>
                <w:b/>
                <w:lang w:val="kk-KZ"/>
              </w:rPr>
              <w:t>3</w:t>
            </w:r>
            <w:r w:rsidRPr="008973C3">
              <w:rPr>
                <w:lang w:val="kk-KZ"/>
              </w:rPr>
              <w:t>. ЖАЛПЫ ТАЛАПТАР</w:t>
            </w:r>
          </w:p>
          <w:p w:rsidR="008973C3" w:rsidRDefault="002253E7" w:rsidP="00DE40F0">
            <w:pPr>
              <w:tabs>
                <w:tab w:val="left" w:pos="226"/>
              </w:tabs>
              <w:rPr>
                <w:lang w:val="kk-KZ"/>
              </w:rPr>
            </w:pPr>
            <w:r>
              <w:rPr>
                <w:lang w:val="kk-KZ"/>
              </w:rPr>
              <w:t>Жабдықтың жаңа (пайдалануда бұрын болмаған) болуы және бүтіндігін бұзылмаған</w:t>
            </w:r>
            <w:bookmarkStart w:id="1" w:name="_GoBack"/>
            <w:bookmarkEnd w:id="1"/>
            <w:r w:rsidR="008973C3" w:rsidRPr="008973C3">
              <w:rPr>
                <w:lang w:val="kk-KZ"/>
              </w:rPr>
              <w:t xml:space="preserve"> орамада және т.б. </w:t>
            </w:r>
            <w:r w:rsidR="008973C3" w:rsidRPr="008973C3">
              <w:rPr>
                <w:lang w:val="kk-KZ"/>
              </w:rPr>
              <w:lastRenderedPageBreak/>
              <w:t>жеткізілуге тиіс.</w:t>
            </w:r>
          </w:p>
          <w:p w:rsidR="008973C3" w:rsidRDefault="008973C3" w:rsidP="00DE40F0">
            <w:pPr>
              <w:tabs>
                <w:tab w:val="left" w:pos="226"/>
              </w:tabs>
              <w:rPr>
                <w:lang w:val="kk-KZ"/>
              </w:rPr>
            </w:pPr>
          </w:p>
          <w:p w:rsidR="008973C3" w:rsidRDefault="008973C3" w:rsidP="00DE40F0">
            <w:pPr>
              <w:tabs>
                <w:tab w:val="left" w:pos="226"/>
              </w:tabs>
              <w:rPr>
                <w:lang w:val="kk-KZ"/>
              </w:rPr>
            </w:pPr>
          </w:p>
          <w:p w:rsidR="008973C3" w:rsidRPr="008973C3" w:rsidRDefault="008973C3" w:rsidP="00DE40F0">
            <w:pPr>
              <w:tabs>
                <w:tab w:val="left" w:pos="226"/>
              </w:tabs>
              <w:rPr>
                <w:lang w:val="kk-KZ"/>
              </w:rPr>
            </w:pPr>
          </w:p>
        </w:tc>
      </w:tr>
      <w:tr w:rsidR="00AE1617" w:rsidRPr="002253E7" w:rsidTr="0043742D">
        <w:trPr>
          <w:trHeight w:val="2534"/>
          <w:jc w:val="center"/>
        </w:trPr>
        <w:tc>
          <w:tcPr>
            <w:tcW w:w="2942" w:type="dxa"/>
            <w:vMerge/>
            <w:tcMar>
              <w:top w:w="0" w:type="dxa"/>
              <w:left w:w="108" w:type="dxa"/>
              <w:bottom w:w="0" w:type="dxa"/>
              <w:right w:w="108" w:type="dxa"/>
            </w:tcMar>
          </w:tcPr>
          <w:p w:rsidR="00AE1617" w:rsidRPr="00CB172E" w:rsidRDefault="00AE1617" w:rsidP="001B5324">
            <w:pPr>
              <w:textAlignment w:val="baseline"/>
              <w:rPr>
                <w:lang w:val="kk-KZ"/>
              </w:rPr>
            </w:pPr>
          </w:p>
        </w:tc>
        <w:tc>
          <w:tcPr>
            <w:tcW w:w="11844" w:type="dxa"/>
            <w:tcMar>
              <w:top w:w="0" w:type="dxa"/>
              <w:left w:w="108" w:type="dxa"/>
              <w:bottom w:w="0" w:type="dxa"/>
              <w:right w:w="108" w:type="dxa"/>
            </w:tcMar>
          </w:tcPr>
          <w:p w:rsidR="00AE1617" w:rsidRPr="00BE003A" w:rsidRDefault="00AE1617" w:rsidP="00145809">
            <w:pPr>
              <w:tabs>
                <w:tab w:val="left" w:pos="226"/>
              </w:tabs>
              <w:rPr>
                <w:lang w:val="kk-KZ"/>
              </w:rPr>
            </w:pPr>
            <w:r w:rsidRPr="00BE003A">
              <w:rPr>
                <w:b/>
                <w:lang w:val="kk-KZ"/>
              </w:rPr>
              <w:t>4</w:t>
            </w:r>
            <w:r w:rsidRPr="00BE003A">
              <w:rPr>
                <w:lang w:val="kk-KZ"/>
              </w:rPr>
              <w:t>. ЖАЛПЫ ТЕХНИКАЛЫҚ СИПАТТАМАЛАРЫ</w:t>
            </w:r>
          </w:p>
          <w:p w:rsidR="00BE003A" w:rsidRPr="00BE003A" w:rsidRDefault="00BE003A" w:rsidP="00BE003A">
            <w:pPr>
              <w:jc w:val="both"/>
              <w:textAlignment w:val="top"/>
              <w:outlineLvl w:val="2"/>
              <w:rPr>
                <w:lang w:val="kk-KZ"/>
              </w:rPr>
            </w:pPr>
            <w:r w:rsidRPr="00BE003A">
              <w:rPr>
                <w:lang w:val="kk-KZ"/>
              </w:rPr>
              <w:t>Кабель түрі: HDMI-HDMI (A Type).</w:t>
            </w:r>
          </w:p>
          <w:p w:rsidR="00BE003A" w:rsidRPr="00BE003A" w:rsidRDefault="00BE003A" w:rsidP="00BE003A">
            <w:pPr>
              <w:jc w:val="both"/>
              <w:textAlignment w:val="top"/>
              <w:outlineLvl w:val="2"/>
              <w:rPr>
                <w:lang w:val="kk-KZ"/>
              </w:rPr>
            </w:pPr>
            <w:r w:rsidRPr="00BE003A">
              <w:rPr>
                <w:lang w:val="kk-KZ"/>
              </w:rPr>
              <w:t>Кабель ұзындығы: 20 метрден кем емес;</w:t>
            </w:r>
          </w:p>
          <w:p w:rsidR="00BE003A" w:rsidRPr="00BE003A" w:rsidRDefault="00BE003A" w:rsidP="00BE003A">
            <w:pPr>
              <w:jc w:val="both"/>
              <w:textAlignment w:val="top"/>
              <w:outlineLvl w:val="2"/>
              <w:rPr>
                <w:lang w:val="kk-KZ"/>
              </w:rPr>
            </w:pPr>
            <w:r w:rsidRPr="00BE003A">
              <w:rPr>
                <w:lang w:val="kk-KZ"/>
              </w:rPr>
              <w:t>Байланыс: алтын жалатылған;</w:t>
            </w:r>
          </w:p>
          <w:p w:rsidR="00BE003A" w:rsidRPr="00BE003A" w:rsidRDefault="00BE003A" w:rsidP="00BE003A">
            <w:pPr>
              <w:jc w:val="both"/>
              <w:textAlignment w:val="top"/>
              <w:outlineLvl w:val="2"/>
              <w:rPr>
                <w:lang w:val="kk-KZ"/>
              </w:rPr>
            </w:pPr>
            <w:r w:rsidRPr="00BE003A">
              <w:rPr>
                <w:lang w:val="kk-KZ"/>
              </w:rPr>
              <w:t>Мүмкіндіктер: 2K x 4K ажыратымдылығын қолдау;</w:t>
            </w:r>
          </w:p>
          <w:p w:rsidR="00BE003A" w:rsidRPr="00BE003A" w:rsidRDefault="00BE003A" w:rsidP="00BE003A">
            <w:pPr>
              <w:jc w:val="both"/>
              <w:textAlignment w:val="top"/>
              <w:outlineLvl w:val="2"/>
              <w:rPr>
                <w:lang w:val="kk-KZ"/>
              </w:rPr>
            </w:pPr>
            <w:r w:rsidRPr="00BE003A">
              <w:rPr>
                <w:lang w:val="kk-KZ"/>
              </w:rPr>
              <w:t>Өткізу қабілеті: 10,2-ден 18 Гбит/с-қа дейін (HDMI 2.0);</w:t>
            </w:r>
          </w:p>
          <w:p w:rsidR="00BE003A" w:rsidRPr="00BE003A" w:rsidRDefault="00BE003A" w:rsidP="00BE003A">
            <w:pPr>
              <w:jc w:val="both"/>
              <w:textAlignment w:val="top"/>
              <w:outlineLvl w:val="2"/>
              <w:rPr>
                <w:lang w:val="kk-KZ"/>
              </w:rPr>
            </w:pPr>
            <w:r w:rsidRPr="00BE003A">
              <w:rPr>
                <w:lang w:val="kk-KZ"/>
              </w:rPr>
              <w:t>Нұсқа: 2.0-ден төмен емес</w:t>
            </w:r>
          </w:p>
          <w:p w:rsidR="00BE003A" w:rsidRPr="00BE003A" w:rsidRDefault="00BE003A" w:rsidP="00BE003A">
            <w:pPr>
              <w:jc w:val="both"/>
              <w:textAlignment w:val="top"/>
              <w:outlineLvl w:val="2"/>
              <w:rPr>
                <w:lang w:val="kk-KZ"/>
              </w:rPr>
            </w:pPr>
            <w:r w:rsidRPr="00BE003A">
              <w:rPr>
                <w:lang w:val="kk-KZ"/>
              </w:rPr>
              <w:t>Деректерді берудің ең жоғары жылдамдығы: 8,16 Гбит/с бастап 14,4 Гбит/с дейін;</w:t>
            </w:r>
          </w:p>
          <w:p w:rsidR="00BE003A" w:rsidRPr="00BE003A" w:rsidRDefault="00BE003A" w:rsidP="00BE003A">
            <w:pPr>
              <w:jc w:val="both"/>
              <w:textAlignment w:val="top"/>
              <w:outlineLvl w:val="2"/>
              <w:rPr>
                <w:lang w:val="kk-KZ"/>
              </w:rPr>
            </w:pPr>
            <w:r w:rsidRPr="00BE003A">
              <w:rPr>
                <w:lang w:val="kk-KZ"/>
              </w:rPr>
              <w:t>Кедергіден қорғау: иә;</w:t>
            </w:r>
          </w:p>
          <w:p w:rsidR="00AE1617" w:rsidRPr="00E43CE7" w:rsidRDefault="00BE003A" w:rsidP="00BE003A">
            <w:pPr>
              <w:jc w:val="both"/>
              <w:textAlignment w:val="top"/>
              <w:outlineLvl w:val="2"/>
              <w:rPr>
                <w:highlight w:val="yellow"/>
                <w:lang w:val="kk-KZ"/>
              </w:rPr>
            </w:pPr>
            <w:r w:rsidRPr="00BE003A">
              <w:rPr>
                <w:lang w:val="kk-KZ"/>
              </w:rPr>
              <w:t>Аудио арналарды қолдау: иә;</w:t>
            </w:r>
          </w:p>
        </w:tc>
      </w:tr>
      <w:tr w:rsidR="00AE1617" w:rsidRPr="003F019B" w:rsidTr="0043742D">
        <w:trPr>
          <w:trHeight w:val="1925"/>
          <w:jc w:val="center"/>
        </w:trPr>
        <w:tc>
          <w:tcPr>
            <w:tcW w:w="2942" w:type="dxa"/>
            <w:vMerge/>
            <w:tcMar>
              <w:top w:w="0" w:type="dxa"/>
              <w:left w:w="108" w:type="dxa"/>
              <w:bottom w:w="0" w:type="dxa"/>
              <w:right w:w="108" w:type="dxa"/>
            </w:tcMar>
          </w:tcPr>
          <w:p w:rsidR="00AE1617" w:rsidRPr="00CB172E" w:rsidRDefault="00AE1617" w:rsidP="001B5324">
            <w:pPr>
              <w:textAlignment w:val="baseline"/>
              <w:rPr>
                <w:lang w:val="kk-KZ"/>
              </w:rPr>
            </w:pPr>
          </w:p>
        </w:tc>
        <w:tc>
          <w:tcPr>
            <w:tcW w:w="11844" w:type="dxa"/>
            <w:tcMar>
              <w:top w:w="0" w:type="dxa"/>
              <w:left w:w="108" w:type="dxa"/>
              <w:bottom w:w="0" w:type="dxa"/>
              <w:right w:w="108" w:type="dxa"/>
            </w:tcMar>
          </w:tcPr>
          <w:p w:rsidR="00AE1617" w:rsidRPr="00BE003A" w:rsidRDefault="00AE1617" w:rsidP="00145809">
            <w:pPr>
              <w:tabs>
                <w:tab w:val="left" w:pos="226"/>
              </w:tabs>
              <w:rPr>
                <w:lang w:val="kk-KZ"/>
              </w:rPr>
            </w:pPr>
            <w:r w:rsidRPr="00BE003A">
              <w:rPr>
                <w:b/>
                <w:lang w:val="kk-KZ"/>
              </w:rPr>
              <w:t>5</w:t>
            </w:r>
            <w:r w:rsidRPr="00BE003A">
              <w:rPr>
                <w:lang w:val="kk-KZ"/>
              </w:rPr>
              <w:t>. ПАЙДАЛАНУ ЖӘНЕ САҚТАУ ШАРТТАРЫ.</w:t>
            </w:r>
          </w:p>
          <w:p w:rsidR="00BE003A" w:rsidRPr="00BE003A" w:rsidRDefault="00BE003A" w:rsidP="00BE003A">
            <w:pPr>
              <w:tabs>
                <w:tab w:val="left" w:pos="226"/>
              </w:tabs>
              <w:rPr>
                <w:lang w:val="kk-KZ"/>
              </w:rPr>
            </w:pPr>
            <w:r w:rsidRPr="00BE003A">
              <w:rPr>
                <w:lang w:val="kk-KZ"/>
              </w:rPr>
              <w:t>Жұмыс температурасының диапазоны:</w:t>
            </w:r>
          </w:p>
          <w:p w:rsidR="00BE003A" w:rsidRPr="00BE003A" w:rsidRDefault="00BE003A" w:rsidP="00BE003A">
            <w:pPr>
              <w:tabs>
                <w:tab w:val="left" w:pos="226"/>
              </w:tabs>
              <w:rPr>
                <w:lang w:val="kk-KZ"/>
              </w:rPr>
            </w:pPr>
            <w:r w:rsidRPr="00BE003A">
              <w:rPr>
                <w:lang w:val="kk-KZ"/>
              </w:rPr>
              <w:t>төменгі шекара: 0°C-тан;</w:t>
            </w:r>
          </w:p>
          <w:p w:rsidR="00BE003A" w:rsidRPr="00BE003A" w:rsidRDefault="00BE003A" w:rsidP="00BE003A">
            <w:pPr>
              <w:tabs>
                <w:tab w:val="left" w:pos="226"/>
              </w:tabs>
              <w:rPr>
                <w:lang w:val="kk-KZ"/>
              </w:rPr>
            </w:pPr>
            <w:r w:rsidRPr="00BE003A">
              <w:rPr>
                <w:lang w:val="kk-KZ"/>
              </w:rPr>
              <w:t>Жоғарғы шекара: +55°C дейін.</w:t>
            </w:r>
          </w:p>
          <w:p w:rsidR="00BE003A" w:rsidRPr="00BE003A" w:rsidRDefault="00BE003A" w:rsidP="00BE003A">
            <w:pPr>
              <w:tabs>
                <w:tab w:val="left" w:pos="226"/>
              </w:tabs>
              <w:rPr>
                <w:lang w:val="kk-KZ"/>
              </w:rPr>
            </w:pPr>
            <w:r w:rsidRPr="00BE003A">
              <w:rPr>
                <w:lang w:val="kk-KZ"/>
              </w:rPr>
              <w:t>Сақтау температурасы:</w:t>
            </w:r>
          </w:p>
          <w:p w:rsidR="00BE003A" w:rsidRPr="00BE003A" w:rsidRDefault="00BE003A" w:rsidP="00BE003A">
            <w:pPr>
              <w:tabs>
                <w:tab w:val="left" w:pos="226"/>
              </w:tabs>
              <w:rPr>
                <w:lang w:val="kk-KZ"/>
              </w:rPr>
            </w:pPr>
            <w:r w:rsidRPr="00BE003A">
              <w:rPr>
                <w:lang w:val="kk-KZ"/>
              </w:rPr>
              <w:t>төменгі шекара: 40°C-тан;</w:t>
            </w:r>
          </w:p>
          <w:p w:rsidR="00AE1617" w:rsidRPr="00E43CE7" w:rsidRDefault="00BE003A" w:rsidP="00BE003A">
            <w:pPr>
              <w:tabs>
                <w:tab w:val="left" w:pos="226"/>
              </w:tabs>
              <w:rPr>
                <w:highlight w:val="yellow"/>
                <w:lang w:val="kk-KZ"/>
              </w:rPr>
            </w:pPr>
            <w:r w:rsidRPr="00BE003A">
              <w:rPr>
                <w:lang w:val="kk-KZ"/>
              </w:rPr>
              <w:t>Жоғарғы шекара: +60°C дейін.</w:t>
            </w:r>
          </w:p>
        </w:tc>
      </w:tr>
      <w:tr w:rsidR="00AE1617" w:rsidRPr="002253E7" w:rsidTr="009E63E9">
        <w:trPr>
          <w:trHeight w:val="2086"/>
          <w:jc w:val="center"/>
        </w:trPr>
        <w:tc>
          <w:tcPr>
            <w:tcW w:w="2942" w:type="dxa"/>
            <w:vMerge/>
            <w:tcMar>
              <w:top w:w="0" w:type="dxa"/>
              <w:left w:w="108" w:type="dxa"/>
              <w:bottom w:w="0" w:type="dxa"/>
              <w:right w:w="108" w:type="dxa"/>
            </w:tcMar>
          </w:tcPr>
          <w:p w:rsidR="00AE1617" w:rsidRPr="00CB172E" w:rsidRDefault="00AE1617" w:rsidP="001B5324">
            <w:pPr>
              <w:textAlignment w:val="baseline"/>
              <w:rPr>
                <w:lang w:val="kk-KZ"/>
              </w:rPr>
            </w:pPr>
          </w:p>
        </w:tc>
        <w:tc>
          <w:tcPr>
            <w:tcW w:w="11844" w:type="dxa"/>
            <w:tcMar>
              <w:top w:w="0" w:type="dxa"/>
              <w:left w:w="108" w:type="dxa"/>
              <w:bottom w:w="0" w:type="dxa"/>
              <w:right w:w="108" w:type="dxa"/>
            </w:tcMar>
          </w:tcPr>
          <w:p w:rsidR="00AE1617" w:rsidRPr="00BE003A" w:rsidRDefault="00AE1617" w:rsidP="00022BF7">
            <w:pPr>
              <w:rPr>
                <w:lang w:val="kk-KZ"/>
              </w:rPr>
            </w:pPr>
            <w:r w:rsidRPr="00BE003A">
              <w:rPr>
                <w:b/>
                <w:lang w:val="kk-KZ"/>
              </w:rPr>
              <w:t>6</w:t>
            </w:r>
            <w:r w:rsidRPr="00BE003A">
              <w:rPr>
                <w:lang w:val="kk-KZ"/>
              </w:rPr>
              <w:t>. ТЕХНИКАЛЫҚ ҚҰЖАТТАМАҒА ҚОЙЫЛАТЫН ТАЛАПТАР</w:t>
            </w:r>
          </w:p>
          <w:p w:rsidR="00BE003A" w:rsidRPr="00BE003A" w:rsidRDefault="00BE003A" w:rsidP="00BE003A">
            <w:pPr>
              <w:tabs>
                <w:tab w:val="left" w:pos="226"/>
              </w:tabs>
              <w:rPr>
                <w:color w:val="auto"/>
                <w:lang w:val="kk-KZ"/>
              </w:rPr>
            </w:pPr>
            <w:r w:rsidRPr="00BE003A">
              <w:rPr>
                <w:color w:val="auto"/>
                <w:lang w:val="kk-KZ"/>
              </w:rPr>
              <w:t>Құжаттама жиынтығы мыналарды қамтуы тиіс (төменде көрсетілгендермен шектелмей):</w:t>
            </w:r>
          </w:p>
          <w:p w:rsidR="00BE003A" w:rsidRPr="00BE003A" w:rsidRDefault="00BE003A" w:rsidP="00BE003A">
            <w:pPr>
              <w:tabs>
                <w:tab w:val="left" w:pos="226"/>
              </w:tabs>
              <w:rPr>
                <w:color w:val="auto"/>
                <w:lang w:val="kk-KZ"/>
              </w:rPr>
            </w:pPr>
            <w:r w:rsidRPr="00BE003A">
              <w:rPr>
                <w:color w:val="auto"/>
                <w:lang w:val="kk-KZ"/>
              </w:rPr>
              <w:t>1) Пайдалану жөніндегі Нұсқаулық (орыс және / немесе ағылшын тілдерінде);</w:t>
            </w:r>
          </w:p>
          <w:p w:rsidR="00BE003A" w:rsidRPr="00BE003A" w:rsidRDefault="00BE003A" w:rsidP="00BE003A">
            <w:pPr>
              <w:tabs>
                <w:tab w:val="left" w:pos="226"/>
              </w:tabs>
              <w:rPr>
                <w:color w:val="auto"/>
                <w:lang w:val="kk-KZ"/>
              </w:rPr>
            </w:pPr>
            <w:r w:rsidRPr="00BE003A">
              <w:rPr>
                <w:color w:val="auto"/>
                <w:lang w:val="kk-KZ"/>
              </w:rPr>
              <w:t>2) Паспорт деректері бар құжаттар (орыс немесе ағылшын тілдерінде).</w:t>
            </w:r>
          </w:p>
          <w:p w:rsidR="00AE1617" w:rsidRPr="00E43CE7" w:rsidRDefault="00BE003A" w:rsidP="00BE003A">
            <w:pPr>
              <w:tabs>
                <w:tab w:val="left" w:pos="226"/>
              </w:tabs>
              <w:rPr>
                <w:highlight w:val="yellow"/>
                <w:lang w:val="kk-KZ"/>
              </w:rPr>
            </w:pPr>
            <w:r w:rsidRPr="00BE003A">
              <w:rPr>
                <w:color w:val="auto"/>
                <w:lang w:val="kk-KZ"/>
              </w:rPr>
              <w:t>Жеткізілетін тауарды дайындаушы зауыттың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сайты болуы тиіс.</w:t>
            </w:r>
          </w:p>
        </w:tc>
      </w:tr>
      <w:tr w:rsidR="00356FDB" w:rsidRPr="00CB172E" w:rsidTr="0043742D">
        <w:trPr>
          <w:jc w:val="center"/>
        </w:trPr>
        <w:tc>
          <w:tcPr>
            <w:tcW w:w="2942" w:type="dxa"/>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 xml:space="preserve">Байланысты қызметтер (қажет болған жағдайда көрсетіледі) (монтаждау, іске қосу, дайындау, тексеру және тауарларды </w:t>
            </w:r>
            <w:r w:rsidRPr="00CB172E">
              <w:rPr>
                <w:lang w:val="kk-KZ"/>
              </w:rPr>
              <w:lastRenderedPageBreak/>
              <w:t>сынау)</w:t>
            </w:r>
          </w:p>
        </w:tc>
        <w:tc>
          <w:tcPr>
            <w:tcW w:w="11844" w:type="dxa"/>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lastRenderedPageBreak/>
              <w:t>жоқ</w:t>
            </w:r>
          </w:p>
        </w:tc>
      </w:tr>
      <w:tr w:rsidR="00356FDB" w:rsidRPr="00CB172E" w:rsidTr="0043742D">
        <w:trPr>
          <w:jc w:val="center"/>
        </w:trPr>
        <w:tc>
          <w:tcPr>
            <w:tcW w:w="2942" w:type="dxa"/>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1844" w:type="dxa"/>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t>жоқ</w:t>
            </w:r>
          </w:p>
        </w:tc>
      </w:tr>
    </w:tbl>
    <w:p w:rsidR="001B5324" w:rsidRPr="00CB172E" w:rsidRDefault="001B5324" w:rsidP="001B5324">
      <w:pPr>
        <w:ind w:firstLine="397"/>
        <w:jc w:val="both"/>
        <w:rPr>
          <w:lang w:val="kk-KZ"/>
        </w:rPr>
      </w:pPr>
      <w:r w:rsidRPr="00CB172E">
        <w:rPr>
          <w:lang w:val="kk-KZ"/>
        </w:rPr>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r w:rsidRPr="00CB172E">
        <w:rPr>
          <w:b/>
          <w:color w:val="auto"/>
          <w:lang w:val="kk-KZ"/>
        </w:rPr>
        <w:t>Басқарма Төрағасының орынбасары - «Қазтелерадио» АҚ Техникалық директоры                    ______________    Затилда К. Ж.</w:t>
      </w:r>
    </w:p>
    <w:p w:rsidR="00022166" w:rsidRPr="00CB172E" w:rsidRDefault="00022166" w:rsidP="00022166">
      <w:pPr>
        <w:tabs>
          <w:tab w:val="left" w:pos="10915"/>
        </w:tabs>
        <w:rPr>
          <w:b/>
          <w:color w:val="auto"/>
          <w:lang w:val="kk-KZ"/>
        </w:rPr>
      </w:pPr>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r w:rsidRPr="00CB172E">
        <w:rPr>
          <w:b/>
          <w:color w:val="auto"/>
        </w:rPr>
        <w:t>Шамшатов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E0B"/>
    <w:rsid w:val="00022166"/>
    <w:rsid w:val="00022BF7"/>
    <w:rsid w:val="000271EF"/>
    <w:rsid w:val="00046E8A"/>
    <w:rsid w:val="00062C95"/>
    <w:rsid w:val="00065225"/>
    <w:rsid w:val="00065371"/>
    <w:rsid w:val="00087BD1"/>
    <w:rsid w:val="0009291E"/>
    <w:rsid w:val="000A2106"/>
    <w:rsid w:val="000B257D"/>
    <w:rsid w:val="000B7D62"/>
    <w:rsid w:val="000C0D8D"/>
    <w:rsid w:val="000C181F"/>
    <w:rsid w:val="000D4308"/>
    <w:rsid w:val="000E170C"/>
    <w:rsid w:val="000E3E0E"/>
    <w:rsid w:val="000E5C84"/>
    <w:rsid w:val="000E66F4"/>
    <w:rsid w:val="000F7190"/>
    <w:rsid w:val="0012007B"/>
    <w:rsid w:val="001215A6"/>
    <w:rsid w:val="00144CFE"/>
    <w:rsid w:val="00145809"/>
    <w:rsid w:val="00146109"/>
    <w:rsid w:val="00172359"/>
    <w:rsid w:val="001A3557"/>
    <w:rsid w:val="001A5A89"/>
    <w:rsid w:val="001B5324"/>
    <w:rsid w:val="001C1833"/>
    <w:rsid w:val="001D6BF3"/>
    <w:rsid w:val="001E0D4C"/>
    <w:rsid w:val="001E2AEC"/>
    <w:rsid w:val="002063FC"/>
    <w:rsid w:val="002253E7"/>
    <w:rsid w:val="00230B01"/>
    <w:rsid w:val="00232BDD"/>
    <w:rsid w:val="002870A4"/>
    <w:rsid w:val="002A0015"/>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761B2"/>
    <w:rsid w:val="003A45B1"/>
    <w:rsid w:val="003B3C9A"/>
    <w:rsid w:val="003D326A"/>
    <w:rsid w:val="003E161E"/>
    <w:rsid w:val="003E2313"/>
    <w:rsid w:val="003F019B"/>
    <w:rsid w:val="003F2AA1"/>
    <w:rsid w:val="003F5CE1"/>
    <w:rsid w:val="004202F6"/>
    <w:rsid w:val="00426520"/>
    <w:rsid w:val="0043039C"/>
    <w:rsid w:val="00436E54"/>
    <w:rsid w:val="0043742D"/>
    <w:rsid w:val="00441F40"/>
    <w:rsid w:val="0044754F"/>
    <w:rsid w:val="00447FCB"/>
    <w:rsid w:val="0045228F"/>
    <w:rsid w:val="0047197E"/>
    <w:rsid w:val="00491CCF"/>
    <w:rsid w:val="004932BD"/>
    <w:rsid w:val="004A00BF"/>
    <w:rsid w:val="004A1653"/>
    <w:rsid w:val="004A4DAB"/>
    <w:rsid w:val="004C07FB"/>
    <w:rsid w:val="004D4D94"/>
    <w:rsid w:val="004E309A"/>
    <w:rsid w:val="004F1957"/>
    <w:rsid w:val="004F2F5A"/>
    <w:rsid w:val="00503EC1"/>
    <w:rsid w:val="00514703"/>
    <w:rsid w:val="00556900"/>
    <w:rsid w:val="00574C9C"/>
    <w:rsid w:val="005A5511"/>
    <w:rsid w:val="005B122B"/>
    <w:rsid w:val="005B1402"/>
    <w:rsid w:val="005B6FFB"/>
    <w:rsid w:val="005F0A74"/>
    <w:rsid w:val="00603D23"/>
    <w:rsid w:val="00623531"/>
    <w:rsid w:val="00640582"/>
    <w:rsid w:val="00642FBF"/>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64605"/>
    <w:rsid w:val="00765F1E"/>
    <w:rsid w:val="007675B9"/>
    <w:rsid w:val="007703E0"/>
    <w:rsid w:val="0078144A"/>
    <w:rsid w:val="00782E33"/>
    <w:rsid w:val="00793767"/>
    <w:rsid w:val="0079732F"/>
    <w:rsid w:val="007B3F2A"/>
    <w:rsid w:val="007D6E11"/>
    <w:rsid w:val="007F01A3"/>
    <w:rsid w:val="007F22CA"/>
    <w:rsid w:val="008068E5"/>
    <w:rsid w:val="00806B25"/>
    <w:rsid w:val="008126BD"/>
    <w:rsid w:val="00821CE0"/>
    <w:rsid w:val="008639F5"/>
    <w:rsid w:val="008646E1"/>
    <w:rsid w:val="008648B8"/>
    <w:rsid w:val="00865031"/>
    <w:rsid w:val="00873F33"/>
    <w:rsid w:val="00874E87"/>
    <w:rsid w:val="0088062B"/>
    <w:rsid w:val="00884A57"/>
    <w:rsid w:val="00884AC7"/>
    <w:rsid w:val="008973C3"/>
    <w:rsid w:val="008A27A3"/>
    <w:rsid w:val="008B07D5"/>
    <w:rsid w:val="008B1E45"/>
    <w:rsid w:val="008C33DE"/>
    <w:rsid w:val="008C3A1F"/>
    <w:rsid w:val="008D6ED3"/>
    <w:rsid w:val="008E0D62"/>
    <w:rsid w:val="008E1641"/>
    <w:rsid w:val="008E4A2B"/>
    <w:rsid w:val="008E516F"/>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3E9"/>
    <w:rsid w:val="009E6D1B"/>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65F45"/>
    <w:rsid w:val="00B922E3"/>
    <w:rsid w:val="00B92C86"/>
    <w:rsid w:val="00BA1188"/>
    <w:rsid w:val="00BB711B"/>
    <w:rsid w:val="00BE003A"/>
    <w:rsid w:val="00BE1EE3"/>
    <w:rsid w:val="00BE692D"/>
    <w:rsid w:val="00BF4B72"/>
    <w:rsid w:val="00BF4FDF"/>
    <w:rsid w:val="00C13B15"/>
    <w:rsid w:val="00C13F88"/>
    <w:rsid w:val="00C213BD"/>
    <w:rsid w:val="00C21A0D"/>
    <w:rsid w:val="00C23C33"/>
    <w:rsid w:val="00C27925"/>
    <w:rsid w:val="00C5225E"/>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20F26"/>
    <w:rsid w:val="00D40CB3"/>
    <w:rsid w:val="00D415DE"/>
    <w:rsid w:val="00D7138B"/>
    <w:rsid w:val="00D77362"/>
    <w:rsid w:val="00D81527"/>
    <w:rsid w:val="00D9074D"/>
    <w:rsid w:val="00D97D3C"/>
    <w:rsid w:val="00DA3AA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7233"/>
    <w:rsid w:val="00F11609"/>
    <w:rsid w:val="00F12F7B"/>
    <w:rsid w:val="00F13CC2"/>
    <w:rsid w:val="00F2216F"/>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1A6FA-4D99-44C7-A90B-381D5BBD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1185</Words>
  <Characters>6758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9</cp:revision>
  <cp:lastPrinted>2021-07-02T09:45:00Z</cp:lastPrinted>
  <dcterms:created xsi:type="dcterms:W3CDTF">2022-04-11T08:30:00Z</dcterms:created>
  <dcterms:modified xsi:type="dcterms:W3CDTF">2022-04-13T04:17:00Z</dcterms:modified>
</cp:coreProperties>
</file>