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B5" w:rsidRPr="00605365" w:rsidRDefault="000C28B5" w:rsidP="000C28B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0C28B5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605365" w:rsidRDefault="000C28B5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Default="000C28B5" w:rsidP="0009530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15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  <w:p w:rsidR="00CC31DC" w:rsidRPr="00CC31DC" w:rsidRDefault="00CC31DC" w:rsidP="0009530A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0C28B5" w:rsidRDefault="000C28B5" w:rsidP="000C28B5">
      <w:pPr>
        <w:spacing w:after="0"/>
        <w:rPr>
          <w:b/>
          <w:color w:val="000000"/>
          <w:sz w:val="24"/>
          <w:szCs w:val="24"/>
          <w:lang w:val="ru-RU"/>
        </w:rPr>
      </w:pPr>
      <w:bookmarkStart w:id="0" w:name="z2391"/>
      <w:r w:rsidRPr="00605365">
        <w:rPr>
          <w:b/>
          <w:color w:val="000000"/>
          <w:lang w:val="ru-RU"/>
        </w:rPr>
        <w:t xml:space="preserve"> </w:t>
      </w:r>
      <w:r w:rsidRPr="00CC31DC">
        <w:rPr>
          <w:b/>
          <w:color w:val="000000"/>
          <w:sz w:val="24"/>
          <w:szCs w:val="24"/>
          <w:lang w:val="ru-RU"/>
        </w:rPr>
        <w:t>Техническая спецификация закупаемых услуг (заполняется заказчиком)</w:t>
      </w:r>
    </w:p>
    <w:p w:rsidR="00CC31DC" w:rsidRPr="00CC31DC" w:rsidRDefault="00CC31DC" w:rsidP="000C28B5">
      <w:pPr>
        <w:spacing w:after="0"/>
        <w:rPr>
          <w:sz w:val="24"/>
          <w:szCs w:val="24"/>
          <w:lang w:val="ru-RU"/>
        </w:rPr>
      </w:pPr>
    </w:p>
    <w:p w:rsidR="006F7DEF" w:rsidRDefault="006F7DEF" w:rsidP="006F7DEF">
      <w:pPr>
        <w:spacing w:after="0"/>
        <w:rPr>
          <w:sz w:val="24"/>
          <w:szCs w:val="24"/>
          <w:u w:val="single"/>
          <w:lang w:val="ru-RU" w:eastAsia="ru-RU"/>
        </w:rPr>
      </w:pPr>
      <w:bookmarkStart w:id="1" w:name="z2392"/>
      <w:bookmarkEnd w:id="0"/>
      <w:r>
        <w:rPr>
          <w:color w:val="000000"/>
          <w:sz w:val="24"/>
          <w:szCs w:val="24"/>
          <w:lang w:val="ru-RU"/>
        </w:rPr>
        <w:t xml:space="preserve">       </w:t>
      </w:r>
      <w:r w:rsidR="000C28B5" w:rsidRPr="00303AC8">
        <w:rPr>
          <w:color w:val="000000"/>
          <w:sz w:val="24"/>
          <w:szCs w:val="24"/>
          <w:lang w:val="ru-RU"/>
        </w:rPr>
        <w:t xml:space="preserve"> Наименование заказчика</w:t>
      </w:r>
      <w:r w:rsidR="00FF06F4" w:rsidRPr="00303AC8">
        <w:rPr>
          <w:color w:val="000000"/>
          <w:sz w:val="24"/>
          <w:szCs w:val="24"/>
          <w:lang w:val="ru-RU"/>
        </w:rPr>
        <w:t>:</w:t>
      </w:r>
      <w:r w:rsidR="000C28B5" w:rsidRPr="00303AC8">
        <w:rPr>
          <w:color w:val="000000"/>
          <w:sz w:val="24"/>
          <w:szCs w:val="24"/>
          <w:lang w:val="ru-RU"/>
        </w:rPr>
        <w:t xml:space="preserve"> </w:t>
      </w:r>
      <w:bookmarkEnd w:id="1"/>
      <w:r w:rsidR="00272D08" w:rsidRPr="00303AC8">
        <w:rPr>
          <w:sz w:val="24"/>
          <w:szCs w:val="24"/>
          <w:u w:val="single"/>
          <w:lang w:val="ru-RU" w:eastAsia="ru-RU"/>
        </w:rPr>
        <w:t>Акционерное общество «</w:t>
      </w:r>
      <w:proofErr w:type="spellStart"/>
      <w:r w:rsidR="00272D08" w:rsidRPr="00303AC8">
        <w:rPr>
          <w:sz w:val="24"/>
          <w:szCs w:val="24"/>
          <w:u w:val="single"/>
          <w:lang w:val="ru-RU" w:eastAsia="ru-RU"/>
        </w:rPr>
        <w:t>Казтелерадио</w:t>
      </w:r>
      <w:proofErr w:type="spellEnd"/>
      <w:r w:rsidR="00272D08" w:rsidRPr="00303AC8">
        <w:rPr>
          <w:sz w:val="24"/>
          <w:szCs w:val="24"/>
          <w:u w:val="single"/>
          <w:lang w:val="ru-RU" w:eastAsia="ru-RU"/>
        </w:rPr>
        <w:t xml:space="preserve">» </w:t>
      </w:r>
      <w:bookmarkStart w:id="2" w:name="_GoBack"/>
      <w:bookmarkEnd w:id="2"/>
    </w:p>
    <w:p w:rsidR="006F7DEF" w:rsidRDefault="006F7DEF" w:rsidP="006F7DEF">
      <w:pPr>
        <w:spacing w:after="0"/>
        <w:ind w:firstLine="426"/>
        <w:rPr>
          <w:sz w:val="24"/>
          <w:szCs w:val="24"/>
          <w:u w:val="single"/>
          <w:lang w:val="ru-RU" w:eastAsia="ru-RU"/>
        </w:rPr>
      </w:pPr>
      <w:r>
        <w:rPr>
          <w:color w:val="000000"/>
          <w:sz w:val="24"/>
          <w:szCs w:val="24"/>
          <w:lang w:val="ru-RU"/>
        </w:rPr>
        <w:t xml:space="preserve"> </w:t>
      </w:r>
      <w:r w:rsidR="000C28B5" w:rsidRPr="00303AC8">
        <w:rPr>
          <w:color w:val="000000"/>
          <w:sz w:val="24"/>
          <w:szCs w:val="24"/>
          <w:lang w:val="ru-RU"/>
        </w:rPr>
        <w:t>Наименование организатора</w:t>
      </w:r>
      <w:r w:rsidR="00FF06F4" w:rsidRPr="00303AC8">
        <w:rPr>
          <w:color w:val="000000"/>
          <w:sz w:val="24"/>
          <w:szCs w:val="24"/>
          <w:lang w:val="ru-RU"/>
        </w:rPr>
        <w:t>:</w:t>
      </w:r>
      <w:r w:rsidR="000C28B5" w:rsidRPr="00303AC8">
        <w:rPr>
          <w:color w:val="000000"/>
          <w:sz w:val="24"/>
          <w:szCs w:val="24"/>
          <w:lang w:val="ru-RU"/>
        </w:rPr>
        <w:t xml:space="preserve"> </w:t>
      </w:r>
      <w:r w:rsidR="00272D08" w:rsidRPr="00303AC8">
        <w:rPr>
          <w:sz w:val="24"/>
          <w:szCs w:val="24"/>
          <w:u w:val="single"/>
          <w:lang w:val="ru-RU" w:eastAsia="ru-RU"/>
        </w:rPr>
        <w:t>Акционерное общество «</w:t>
      </w:r>
      <w:proofErr w:type="spellStart"/>
      <w:r w:rsidR="00272D08" w:rsidRPr="00303AC8">
        <w:rPr>
          <w:sz w:val="24"/>
          <w:szCs w:val="24"/>
          <w:u w:val="single"/>
          <w:lang w:val="ru-RU" w:eastAsia="ru-RU"/>
        </w:rPr>
        <w:t>Казтелерадио</w:t>
      </w:r>
      <w:proofErr w:type="spellEnd"/>
    </w:p>
    <w:p w:rsidR="000C28B5" w:rsidRPr="00303AC8" w:rsidRDefault="006F7DEF" w:rsidP="006F7DEF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</w:t>
      </w:r>
      <w:r w:rsidR="00272D08" w:rsidRPr="00303AC8">
        <w:rPr>
          <w:color w:val="000000"/>
          <w:sz w:val="24"/>
          <w:szCs w:val="24"/>
          <w:lang w:val="ru-RU"/>
        </w:rPr>
        <w:t xml:space="preserve"> </w:t>
      </w:r>
      <w:r w:rsidR="000C28B5" w:rsidRPr="00303AC8">
        <w:rPr>
          <w:color w:val="000000"/>
          <w:sz w:val="24"/>
          <w:szCs w:val="24"/>
          <w:lang w:val="ru-RU"/>
        </w:rPr>
        <w:t>№ конкурса</w:t>
      </w:r>
      <w:r w:rsidR="00FF06F4" w:rsidRPr="00303AC8">
        <w:rPr>
          <w:color w:val="000000"/>
          <w:sz w:val="24"/>
          <w:szCs w:val="24"/>
          <w:lang w:val="ru-RU"/>
        </w:rPr>
        <w:t>:</w:t>
      </w:r>
      <w:r w:rsidR="000C28B5" w:rsidRPr="00303AC8">
        <w:rPr>
          <w:color w:val="000000"/>
          <w:sz w:val="24"/>
          <w:szCs w:val="24"/>
          <w:lang w:val="ru-RU"/>
        </w:rPr>
        <w:t xml:space="preserve"> </w:t>
      </w:r>
      <w:r w:rsidR="00272D08" w:rsidRPr="00303AC8">
        <w:rPr>
          <w:color w:val="000000"/>
          <w:sz w:val="24"/>
          <w:szCs w:val="24"/>
          <w:lang w:val="ru-RU"/>
        </w:rPr>
        <w:t>Услуги консультационные по вопросам ценообразования/тарифной политики</w:t>
      </w:r>
    </w:p>
    <w:p w:rsidR="006F7DEF" w:rsidRPr="00303AC8" w:rsidRDefault="006F7DEF" w:rsidP="006F7DEF">
      <w:pPr>
        <w:spacing w:after="0"/>
        <w:ind w:firstLine="426"/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</w:t>
      </w:r>
      <w:r w:rsidR="000C28B5" w:rsidRPr="006F7DEF">
        <w:rPr>
          <w:sz w:val="24"/>
          <w:szCs w:val="24"/>
          <w:lang w:val="ru-RU"/>
        </w:rPr>
        <w:t>Наименование конкурса</w:t>
      </w:r>
      <w:r w:rsidR="00272D08" w:rsidRPr="006F7DEF">
        <w:rPr>
          <w:sz w:val="24"/>
          <w:szCs w:val="24"/>
          <w:lang w:val="ru-RU"/>
        </w:rPr>
        <w:t>:</w:t>
      </w:r>
      <w:r w:rsidR="000C28B5" w:rsidRPr="00303AC8">
        <w:rPr>
          <w:lang w:val="ru-RU"/>
        </w:rPr>
        <w:t xml:space="preserve"> </w:t>
      </w:r>
      <w:r w:rsidRPr="00303AC8">
        <w:rPr>
          <w:color w:val="000000"/>
          <w:sz w:val="24"/>
          <w:szCs w:val="24"/>
          <w:lang w:val="ru-RU"/>
        </w:rPr>
        <w:t>Услуги консультационные по вопросам ценообразования/тарифной политики</w:t>
      </w:r>
    </w:p>
    <w:p w:rsidR="000C28B5" w:rsidRPr="009604C8" w:rsidRDefault="000C28B5" w:rsidP="006F7DEF">
      <w:pPr>
        <w:pStyle w:val="Default"/>
        <w:ind w:firstLine="426"/>
        <w:rPr>
          <w:rFonts w:ascii="Times New Roman" w:hAnsi="Times New Roman" w:cs="Times New Roman"/>
          <w:lang w:val="ru-RU"/>
        </w:rPr>
      </w:pPr>
      <w:r w:rsidRPr="009604C8">
        <w:rPr>
          <w:rFonts w:ascii="Times New Roman" w:hAnsi="Times New Roman" w:cs="Times New Roman"/>
          <w:lang w:val="ru-RU"/>
        </w:rPr>
        <w:t>№ лота</w:t>
      </w:r>
      <w:r w:rsidR="00FF06F4" w:rsidRPr="009604C8">
        <w:rPr>
          <w:rFonts w:ascii="Times New Roman" w:hAnsi="Times New Roman" w:cs="Times New Roman"/>
          <w:lang w:val="ru-RU"/>
        </w:rPr>
        <w:t>:</w:t>
      </w:r>
      <w:r w:rsidRPr="009604C8">
        <w:rPr>
          <w:rFonts w:ascii="Times New Roman" w:hAnsi="Times New Roman" w:cs="Times New Roman"/>
          <w:lang w:val="ru-RU"/>
        </w:rPr>
        <w:t xml:space="preserve"> _________________________________</w:t>
      </w:r>
    </w:p>
    <w:p w:rsidR="006F7DEF" w:rsidRPr="00303AC8" w:rsidRDefault="006F7DEF" w:rsidP="006F7DEF">
      <w:pPr>
        <w:spacing w:after="0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0C28B5" w:rsidRPr="006F7DEF">
        <w:rPr>
          <w:sz w:val="24"/>
          <w:szCs w:val="24"/>
          <w:lang w:val="ru-RU"/>
        </w:rPr>
        <w:t>Наименование лота</w:t>
      </w:r>
      <w:r w:rsidR="00272D08" w:rsidRPr="006F7DEF">
        <w:rPr>
          <w:sz w:val="24"/>
          <w:szCs w:val="24"/>
          <w:lang w:val="ru-RU"/>
        </w:rPr>
        <w:t>:</w:t>
      </w:r>
      <w:r>
        <w:rPr>
          <w:lang w:val="ru-RU"/>
        </w:rPr>
        <w:t xml:space="preserve"> </w:t>
      </w:r>
      <w:r w:rsidRPr="00303AC8">
        <w:rPr>
          <w:color w:val="000000"/>
          <w:sz w:val="24"/>
          <w:szCs w:val="24"/>
          <w:lang w:val="ru-RU"/>
        </w:rPr>
        <w:t>Услуги консультационные по вопросам ценообразования/тарифной политики</w:t>
      </w:r>
    </w:p>
    <w:p w:rsidR="00272D08" w:rsidRPr="00303AC8" w:rsidRDefault="00272D08" w:rsidP="006F7DEF">
      <w:pPr>
        <w:pStyle w:val="Default"/>
        <w:ind w:firstLine="426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53"/>
        <w:gridCol w:w="5103"/>
      </w:tblGrid>
      <w:tr w:rsidR="000C28B5" w:rsidRPr="00CC31DC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AF569E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>Услуги консультационные по вопросам ценообразования/тарифной политики</w:t>
            </w:r>
          </w:p>
          <w:p w:rsidR="000C28B5" w:rsidRPr="00303AC8" w:rsidRDefault="000C28B5" w:rsidP="00C2122F">
            <w:pPr>
              <w:spacing w:after="20"/>
              <w:ind w:left="-1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28B5" w:rsidRPr="00CC31DC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03AC8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837659" w:rsidRDefault="00837659" w:rsidP="00AF569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>Услуги консультационные по вопросам ценообразования/тарифной политики</w:t>
            </w:r>
          </w:p>
        </w:tc>
      </w:tr>
      <w:tr w:rsidR="000C28B5" w:rsidRPr="00303AC8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03AC8">
              <w:rPr>
                <w:color w:val="000000"/>
                <w:sz w:val="24"/>
                <w:szCs w:val="24"/>
              </w:rPr>
              <w:t>Единица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измерения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0C28B5" w:rsidRPr="00837659" w:rsidRDefault="00837659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Услуга</w:t>
            </w:r>
          </w:p>
        </w:tc>
      </w:tr>
      <w:tr w:rsidR="000C28B5" w:rsidRPr="00303AC8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03AC8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объем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>)*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0C28B5" w:rsidRPr="00837659" w:rsidRDefault="00837659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Одна</w:t>
            </w:r>
          </w:p>
        </w:tc>
      </w:tr>
      <w:tr w:rsidR="000C28B5" w:rsidRPr="00837659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0C28B5" w:rsidRPr="00303AC8" w:rsidRDefault="00EB184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837659">
              <w:rPr>
                <w:sz w:val="24"/>
                <w:szCs w:val="24"/>
                <w:lang w:val="ru-RU"/>
              </w:rPr>
              <w:t> 000 000</w:t>
            </w:r>
          </w:p>
        </w:tc>
      </w:tr>
      <w:tr w:rsidR="000C28B5" w:rsidRPr="00837659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EB1843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837659">
              <w:rPr>
                <w:sz w:val="24"/>
                <w:szCs w:val="24"/>
                <w:lang w:val="ru-RU"/>
              </w:rPr>
              <w:t> 000 000</w:t>
            </w:r>
          </w:p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28B5" w:rsidRPr="00837659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AF569E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03AC8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AF569E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  <w:r w:rsidR="00272D08" w:rsidRPr="00303AC8">
              <w:rPr>
                <w:sz w:val="24"/>
                <w:szCs w:val="24"/>
                <w:lang w:val="ru-RU"/>
              </w:rPr>
              <w:t xml:space="preserve"> </w:t>
            </w:r>
            <w:r w:rsidR="00837659">
              <w:rPr>
                <w:sz w:val="24"/>
                <w:szCs w:val="24"/>
                <w:lang w:val="ru-RU"/>
              </w:rPr>
              <w:t>календарных дней</w:t>
            </w:r>
          </w:p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28B5" w:rsidRPr="00303AC8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03AC8">
              <w:rPr>
                <w:color w:val="000000"/>
                <w:sz w:val="24"/>
                <w:szCs w:val="24"/>
              </w:rPr>
              <w:t>Размер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авансового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платежа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0C28B5" w:rsidRPr="00837659" w:rsidRDefault="00837659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0C28B5" w:rsidRPr="00303AC8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03AC8">
              <w:rPr>
                <w:color w:val="000000"/>
                <w:sz w:val="24"/>
                <w:szCs w:val="24"/>
              </w:rPr>
              <w:t>Гарантийный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 xml:space="preserve"> (в </w:t>
            </w:r>
            <w:proofErr w:type="spellStart"/>
            <w:r w:rsidRPr="00303AC8">
              <w:rPr>
                <w:color w:val="000000"/>
                <w:sz w:val="24"/>
                <w:szCs w:val="24"/>
              </w:rPr>
              <w:t>месяцах</w:t>
            </w:r>
            <w:proofErr w:type="spellEnd"/>
            <w:r w:rsidRPr="00303AC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28B5" w:rsidRPr="00CC31DC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22F" w:rsidRPr="00303AC8" w:rsidRDefault="00A9081B" w:rsidP="00C2122F">
            <w:pPr>
              <w:autoSpaceDE w:val="0"/>
              <w:autoSpaceDN w:val="0"/>
              <w:adjustRightInd w:val="0"/>
              <w:spacing w:before="24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C2122F" w:rsidRPr="00303AC8">
              <w:rPr>
                <w:sz w:val="24"/>
                <w:szCs w:val="24"/>
                <w:lang w:val="ru-RU"/>
              </w:rPr>
              <w:t xml:space="preserve"> </w:t>
            </w:r>
            <w:r w:rsidR="00507A9C">
              <w:rPr>
                <w:sz w:val="24"/>
                <w:szCs w:val="24"/>
                <w:lang w:val="ru-RU"/>
              </w:rPr>
              <w:t xml:space="preserve"> </w:t>
            </w:r>
            <w:r w:rsidR="00C2122F" w:rsidRPr="00303AC8">
              <w:rPr>
                <w:sz w:val="24"/>
                <w:szCs w:val="24"/>
                <w:lang w:val="kk-KZ"/>
              </w:rPr>
              <w:t>Проведение</w:t>
            </w:r>
            <w:r w:rsidR="00C2122F" w:rsidRPr="00303AC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122F" w:rsidRPr="00303AC8">
              <w:rPr>
                <w:color w:val="000000"/>
                <w:sz w:val="24"/>
                <w:szCs w:val="24"/>
                <w:lang w:val="ru-RU"/>
              </w:rPr>
              <w:t>комплаенс</w:t>
            </w:r>
            <w:proofErr w:type="spellEnd"/>
            <w:r w:rsidR="00C2122F" w:rsidRPr="00303AC8">
              <w:rPr>
                <w:color w:val="000000"/>
                <w:sz w:val="24"/>
                <w:szCs w:val="24"/>
                <w:lang w:val="ru-RU"/>
              </w:rPr>
              <w:t xml:space="preserve"> анализа </w:t>
            </w:r>
            <w:r w:rsidR="00C2122F" w:rsidRPr="00303AC8">
              <w:rPr>
                <w:sz w:val="24"/>
                <w:szCs w:val="24"/>
                <w:lang w:val="kk-KZ"/>
              </w:rPr>
              <w:t>деятельности Общества на предмет соответствия нормам законодательства в области защиты конкуренции</w:t>
            </w:r>
            <w:r w:rsidR="00C2122F" w:rsidRPr="00303AC8">
              <w:rPr>
                <w:sz w:val="24"/>
                <w:szCs w:val="24"/>
                <w:lang w:val="ru-RU"/>
              </w:rPr>
              <w:t>:</w:t>
            </w:r>
          </w:p>
          <w:p w:rsidR="00C2122F" w:rsidRPr="00303AC8" w:rsidRDefault="00C2122F" w:rsidP="00C2122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 w:rsidRPr="00303AC8">
              <w:rPr>
                <w:rFonts w:ascii="Times New Roman" w:eastAsia="Arial" w:hAnsi="Times New Roman" w:cs="Times New Roman"/>
                <w:color w:val="auto"/>
                <w:lang w:val="ru-RU"/>
              </w:rPr>
              <w:t>анализ и экспертиза заключенных договоров и актов по услугам и т.п. приносящим доход Обществу;</w:t>
            </w:r>
          </w:p>
          <w:p w:rsidR="00C2122F" w:rsidRPr="00303AC8" w:rsidRDefault="00C2122F" w:rsidP="00C2122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 w:rsidRPr="00303AC8">
              <w:rPr>
                <w:rFonts w:ascii="Times New Roman" w:eastAsia="Arial" w:hAnsi="Times New Roman" w:cs="Times New Roman"/>
                <w:color w:val="auto"/>
                <w:lang w:val="ru-RU"/>
              </w:rPr>
              <w:lastRenderedPageBreak/>
              <w:t xml:space="preserve">анализ имеющейся ценовой политики Общества и обоснованность применяемых тарифов по услугам Общества, </w:t>
            </w:r>
          </w:p>
          <w:p w:rsidR="00C2122F" w:rsidRPr="00303AC8" w:rsidRDefault="00C2122F" w:rsidP="00C2122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 w:rsidRPr="00303AC8">
              <w:rPr>
                <w:rFonts w:ascii="Times New Roman" w:eastAsia="Arial" w:hAnsi="Times New Roman" w:cs="Times New Roman"/>
                <w:color w:val="auto"/>
                <w:lang w:val="ru-RU"/>
              </w:rPr>
              <w:t xml:space="preserve">проведение анализа действующей методологической базы по </w:t>
            </w:r>
            <w:proofErr w:type="spellStart"/>
            <w:r w:rsidRPr="00303AC8">
              <w:rPr>
                <w:rFonts w:ascii="Times New Roman" w:eastAsia="Arial" w:hAnsi="Times New Roman" w:cs="Times New Roman"/>
                <w:color w:val="auto"/>
                <w:lang w:val="ru-RU"/>
              </w:rPr>
              <w:t>тарифообразованию</w:t>
            </w:r>
            <w:proofErr w:type="spellEnd"/>
            <w:r w:rsidRPr="00303AC8">
              <w:rPr>
                <w:rFonts w:ascii="Times New Roman" w:eastAsia="Arial" w:hAnsi="Times New Roman" w:cs="Times New Roman"/>
                <w:color w:val="auto"/>
                <w:lang w:val="ru-RU"/>
              </w:rPr>
              <w:t xml:space="preserve"> на предоставляемые услуги и работы; </w:t>
            </w:r>
          </w:p>
          <w:p w:rsidR="00C2122F" w:rsidRPr="00303AC8" w:rsidRDefault="00C2122F" w:rsidP="00C2122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 w:rsidRPr="00303AC8">
              <w:rPr>
                <w:rFonts w:ascii="Times New Roman" w:eastAsia="Arial" w:hAnsi="Times New Roman" w:cs="Times New Roman"/>
                <w:color w:val="auto"/>
                <w:lang w:val="ru-RU"/>
              </w:rPr>
              <w:t xml:space="preserve">анализ и </w:t>
            </w:r>
            <w:r w:rsidRPr="00303AC8">
              <w:rPr>
                <w:rFonts w:ascii="Times New Roman" w:eastAsia="Arial" w:hAnsi="Times New Roman" w:cs="Times New Roman"/>
                <w:lang w:val="kk-KZ"/>
              </w:rPr>
              <w:t>определение рыночной доли по оказываемым услугам Общества и определение его категории в отношении рынка (монополист, доминирующий оператор и т.д.)</w:t>
            </w:r>
            <w:r w:rsidRPr="00303AC8">
              <w:rPr>
                <w:rFonts w:ascii="Times New Roman" w:eastAsia="Arial" w:hAnsi="Times New Roman" w:cs="Times New Roman"/>
                <w:color w:val="auto"/>
                <w:lang w:val="ru-RU"/>
              </w:rPr>
              <w:t>;</w:t>
            </w:r>
          </w:p>
          <w:p w:rsidR="00C2122F" w:rsidRPr="00303AC8" w:rsidRDefault="00C2122F" w:rsidP="00C2122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03AC8">
              <w:rPr>
                <w:rFonts w:ascii="Times New Roman" w:eastAsia="Arial" w:hAnsi="Times New Roman" w:cs="Times New Roman"/>
                <w:lang w:val="kk-KZ"/>
              </w:rPr>
              <w:t>Определение</w:t>
            </w:r>
            <w:r w:rsidRPr="00303AC8">
              <w:rPr>
                <w:rFonts w:ascii="Times New Roman" w:hAnsi="Times New Roman" w:cs="Times New Roman"/>
                <w:lang w:val="ru-RU"/>
              </w:rPr>
              <w:t xml:space="preserve"> перечня услуг и работ, не регулируемые антимонопольным законодательством Республики Казахстан;</w:t>
            </w:r>
          </w:p>
          <w:p w:rsidR="00C2122F" w:rsidRPr="00303AC8" w:rsidRDefault="00C2122F" w:rsidP="00C2122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303AC8">
              <w:rPr>
                <w:rFonts w:ascii="Times New Roman" w:eastAsia="Arial" w:hAnsi="Times New Roman" w:cs="Times New Roman"/>
                <w:lang w:val="kk-KZ"/>
              </w:rPr>
              <w:t>Определение</w:t>
            </w:r>
            <w:r w:rsidRPr="00303AC8">
              <w:rPr>
                <w:rFonts w:ascii="Times New Roman" w:hAnsi="Times New Roman" w:cs="Times New Roman"/>
                <w:lang w:val="ru-RU"/>
              </w:rPr>
              <w:t xml:space="preserve"> перечня услуг и работ, подпадающие под требования антимонопольного законодательства Республики Казахстан;</w:t>
            </w:r>
          </w:p>
          <w:p w:rsidR="00C2122F" w:rsidRPr="00303AC8" w:rsidRDefault="00C2122F" w:rsidP="00C2122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 w:rsidRPr="00303AC8">
              <w:rPr>
                <w:rFonts w:ascii="Times New Roman" w:eastAsia="Arial" w:hAnsi="Times New Roman" w:cs="Times New Roman"/>
                <w:lang w:val="kk-KZ"/>
              </w:rPr>
              <w:t>выявление рисков, оценка рисков, минимизация рисков (</w:t>
            </w:r>
            <w:r w:rsidRPr="00303AC8">
              <w:rPr>
                <w:rFonts w:ascii="Times New Roman" w:eastAsia="Arial" w:hAnsi="Times New Roman" w:cs="Times New Roman"/>
                <w:color w:val="auto"/>
                <w:lang w:val="kk-KZ"/>
              </w:rPr>
              <w:t>разработка карты рисков, определение средств контроля, необходимых для управления, минимизации и устранения выявленных рисков, проведение необходимых мероприятий по снижению рисков)</w:t>
            </w:r>
            <w:r w:rsidRPr="00303AC8">
              <w:rPr>
                <w:rFonts w:ascii="Times New Roman" w:eastAsia="Arial" w:hAnsi="Times New Roman" w:cs="Times New Roman"/>
                <w:color w:val="auto"/>
                <w:lang w:val="ru-RU"/>
              </w:rPr>
              <w:t>.</w:t>
            </w:r>
          </w:p>
          <w:p w:rsidR="004E1760" w:rsidRPr="004E1760" w:rsidRDefault="00C2122F" w:rsidP="0000501D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03A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Предоставление отчета </w:t>
            </w:r>
            <w:r w:rsidRPr="00303A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 итогами проведенного анализа </w:t>
            </w:r>
            <w:r w:rsidRPr="00303AC8">
              <w:rPr>
                <w:rFonts w:ascii="Times New Roman" w:hAnsi="Times New Roman"/>
                <w:sz w:val="24"/>
                <w:szCs w:val="24"/>
                <w:lang w:val="kk-KZ"/>
              </w:rPr>
              <w:t>деятельности Общества на предмет соответствия нормам законодательства в области защиты конкуренции.</w:t>
            </w:r>
            <w:r w:rsidR="00AF41E1" w:rsidRPr="00303A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F41E1" w:rsidRPr="00303A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оригиналов Отчета должно составлять не менее 3 (трех) экземпляров на казахском и русском языке, последняя страница которых подписана первым руководителем Исполнителя, каждая страница парафирована. </w:t>
            </w:r>
          </w:p>
          <w:p w:rsidR="00AF41E1" w:rsidRDefault="004E1760" w:rsidP="0000501D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17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C2122F" w:rsidRPr="00303AC8">
              <w:rPr>
                <w:rFonts w:ascii="Times New Roman" w:hAnsi="Times New Roman"/>
                <w:sz w:val="24"/>
                <w:szCs w:val="24"/>
                <w:lang w:val="kk-KZ"/>
              </w:rPr>
              <w:t>Предложения по системе мер по предупрежд</w:t>
            </w:r>
            <w:r w:rsidR="0000501D">
              <w:rPr>
                <w:rFonts w:ascii="Times New Roman" w:hAnsi="Times New Roman"/>
                <w:sz w:val="24"/>
                <w:szCs w:val="24"/>
                <w:lang w:val="kk-KZ"/>
              </w:rPr>
              <w:t>ению нарушений антимонопольного з</w:t>
            </w:r>
            <w:r w:rsidR="00C2122F" w:rsidRPr="00303AC8">
              <w:rPr>
                <w:rFonts w:ascii="Times New Roman" w:hAnsi="Times New Roman"/>
                <w:sz w:val="24"/>
                <w:szCs w:val="24"/>
                <w:lang w:val="kk-KZ"/>
              </w:rPr>
              <w:t>аконодательства </w:t>
            </w:r>
            <w:r w:rsidR="000050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122F" w:rsidRPr="00303AC8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00501D">
              <w:rPr>
                <w:rFonts w:ascii="Times New Roman" w:hAnsi="Times New Roman"/>
                <w:sz w:val="24"/>
                <w:szCs w:val="24"/>
                <w:lang w:val="kk-KZ"/>
              </w:rPr>
              <w:t>еспублики Казахстан</w:t>
            </w:r>
            <w:r w:rsidR="00C2122F" w:rsidRPr="00303A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  и обеспечению соответствия требованиям антимонопольного законодательства, с </w:t>
            </w:r>
            <w:r w:rsidR="00C2122F" w:rsidRPr="00303A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разработанными рекомендациями по изменению или  корректировке действующих методологий расчета тарифов принятых Обществом.</w:t>
            </w:r>
            <w:r w:rsidR="00AF41E1" w:rsidRPr="00303A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AC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AF41E1" w:rsidRPr="00303AC8">
              <w:rPr>
                <w:rFonts w:ascii="Times New Roman" w:hAnsi="Times New Roman"/>
                <w:sz w:val="24"/>
                <w:szCs w:val="24"/>
                <w:lang w:val="ru-RU"/>
              </w:rPr>
              <w:t>Результаты разработки должны быть приложением к Отчету, и должны содержать сведения о применяемых моделях, принципах и методах, применяемых при оказании Услуги.</w:t>
            </w:r>
          </w:p>
          <w:p w:rsidR="00303AC8" w:rsidRPr="00303AC8" w:rsidRDefault="00303AC8" w:rsidP="00AF41E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2122F" w:rsidRPr="00303AC8" w:rsidRDefault="00AF41E1" w:rsidP="00C2122F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 xml:space="preserve">    Предоставление п</w:t>
            </w:r>
            <w:r w:rsidR="00C2122F" w:rsidRPr="00303AC8">
              <w:rPr>
                <w:color w:val="000000"/>
                <w:sz w:val="24"/>
                <w:szCs w:val="24"/>
                <w:lang w:val="ru-RU"/>
              </w:rPr>
              <w:t>еречн</w:t>
            </w:r>
            <w:r w:rsidRPr="00303AC8">
              <w:rPr>
                <w:color w:val="000000"/>
                <w:sz w:val="24"/>
                <w:szCs w:val="24"/>
                <w:lang w:val="ru-RU"/>
              </w:rPr>
              <w:t>я</w:t>
            </w:r>
            <w:r w:rsidR="00C2122F" w:rsidRPr="00303AC8">
              <w:rPr>
                <w:color w:val="000000"/>
                <w:sz w:val="24"/>
                <w:szCs w:val="24"/>
                <w:lang w:val="ru-RU"/>
              </w:rPr>
              <w:t xml:space="preserve"> услуг и работ, </w:t>
            </w:r>
            <w:r w:rsidR="00C2122F" w:rsidRPr="00303AC8">
              <w:rPr>
                <w:color w:val="000000"/>
                <w:sz w:val="24"/>
                <w:szCs w:val="24"/>
                <w:lang w:val="ru-RU"/>
              </w:rPr>
              <w:lastRenderedPageBreak/>
              <w:t>не</w:t>
            </w:r>
            <w:r w:rsidRPr="00303AC8">
              <w:rPr>
                <w:color w:val="000000"/>
                <w:sz w:val="24"/>
                <w:szCs w:val="24"/>
                <w:lang w:val="ru-RU"/>
              </w:rPr>
              <w:t xml:space="preserve">регулируемые </w:t>
            </w:r>
            <w:r w:rsidR="00C2122F" w:rsidRPr="00303AC8">
              <w:rPr>
                <w:color w:val="000000"/>
                <w:sz w:val="24"/>
                <w:szCs w:val="24"/>
                <w:lang w:val="ru-RU"/>
              </w:rPr>
              <w:t>антимонопольным законод</w:t>
            </w:r>
            <w:r w:rsidRPr="00303AC8">
              <w:rPr>
                <w:color w:val="000000"/>
                <w:sz w:val="24"/>
                <w:szCs w:val="24"/>
                <w:lang w:val="ru-RU"/>
              </w:rPr>
              <w:t xml:space="preserve">ательством </w:t>
            </w:r>
            <w:r w:rsidR="004E1760">
              <w:rPr>
                <w:color w:val="000000"/>
                <w:sz w:val="24"/>
                <w:szCs w:val="24"/>
                <w:lang w:val="ru-RU"/>
              </w:rPr>
              <w:t>Республики Казахстан. Предоставление</w:t>
            </w:r>
            <w:r w:rsidRPr="00303AC8">
              <w:rPr>
                <w:color w:val="000000"/>
                <w:sz w:val="24"/>
                <w:szCs w:val="24"/>
                <w:lang w:val="ru-RU"/>
              </w:rPr>
              <w:t xml:space="preserve"> п</w:t>
            </w:r>
            <w:r w:rsidR="00C2122F" w:rsidRPr="00303AC8">
              <w:rPr>
                <w:color w:val="000000"/>
                <w:sz w:val="24"/>
                <w:szCs w:val="24"/>
                <w:lang w:val="ru-RU"/>
              </w:rPr>
              <w:t>ереч</w:t>
            </w:r>
            <w:r w:rsidRPr="00303AC8">
              <w:rPr>
                <w:color w:val="000000"/>
                <w:sz w:val="24"/>
                <w:szCs w:val="24"/>
                <w:lang w:val="ru-RU"/>
              </w:rPr>
              <w:t>ня</w:t>
            </w:r>
            <w:r w:rsidR="00C2122F" w:rsidRPr="00303AC8">
              <w:rPr>
                <w:color w:val="000000"/>
                <w:sz w:val="24"/>
                <w:szCs w:val="24"/>
                <w:lang w:val="ru-RU"/>
              </w:rPr>
              <w:t xml:space="preserve"> услуг и работ, подпадающие под требования антимонопольного законодательства Республики Казахстан</w:t>
            </w:r>
            <w:r w:rsidRPr="00303AC8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AF41E1" w:rsidRPr="00303AC8" w:rsidRDefault="00AF41E1" w:rsidP="00303AC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 xml:space="preserve">   Подача заявки в Агентство по защите и развитию конкуренции, с приложением необходимых документов о признании Общества монополистом или доминирующим оператором (при наличии факта). </w:t>
            </w:r>
          </w:p>
          <w:p w:rsidR="00C2122F" w:rsidRPr="00303AC8" w:rsidRDefault="00C2122F" w:rsidP="00C2122F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="00507A9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03AC8">
              <w:rPr>
                <w:color w:val="000000"/>
                <w:sz w:val="24"/>
                <w:szCs w:val="24"/>
                <w:lang w:val="ru-RU"/>
              </w:rPr>
              <w:t>Р</w:t>
            </w:r>
            <w:r w:rsidRPr="00303AC8">
              <w:rPr>
                <w:sz w:val="24"/>
                <w:szCs w:val="24"/>
                <w:lang w:val="kk-KZ"/>
              </w:rPr>
              <w:t>азработка Внутреннего акта комплаенса, регулирующий внутренние правила, методы и политику Общества по ведению его деятельности в соответствии с законодательством по защите конкуренции</w:t>
            </w:r>
            <w:r w:rsidRPr="00303AC8">
              <w:rPr>
                <w:sz w:val="24"/>
                <w:szCs w:val="24"/>
                <w:lang w:val="ru-RU"/>
              </w:rPr>
              <w:t>:</w:t>
            </w:r>
          </w:p>
          <w:p w:rsidR="00C2122F" w:rsidRPr="00303AC8" w:rsidRDefault="00C2122F" w:rsidP="00C2122F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рекомендаций по изменению/корректировке действующих методологий расчета экономически обоснованных тарифов на услуги Общества, используя выводы и предложения;</w:t>
            </w:r>
          </w:p>
          <w:p w:rsidR="00C2122F" w:rsidRPr="004E1760" w:rsidRDefault="00C2122F" w:rsidP="00C2122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 w:rsidRPr="00303AC8">
              <w:rPr>
                <w:rFonts w:ascii="Times New Roman" w:hAnsi="Times New Roman" w:cs="Times New Roman"/>
                <w:lang w:val="ru-RU"/>
              </w:rPr>
              <w:t>разработка рекомендаций по расчету экономически обоснованных тарифов в соответствии с Законодательством Р</w:t>
            </w:r>
            <w:r w:rsidR="000932A6">
              <w:rPr>
                <w:rFonts w:ascii="Times New Roman" w:hAnsi="Times New Roman" w:cs="Times New Roman"/>
                <w:lang w:val="ru-RU"/>
              </w:rPr>
              <w:t>еспублики Казахстан</w:t>
            </w:r>
            <w:r w:rsidR="004E1760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E1760" w:rsidRPr="004E1760" w:rsidRDefault="004E1760" w:rsidP="00C2122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рекомендации по методам проведения оценки антимонопольных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рисков, связанных с деятельностью Общества;</w:t>
            </w:r>
          </w:p>
          <w:p w:rsidR="004E1760" w:rsidRPr="004E1760" w:rsidRDefault="004E1760" w:rsidP="00C2122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построение системы внутреннего контроля антимонопольных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рисков;</w:t>
            </w:r>
          </w:p>
          <w:p w:rsidR="004E1760" w:rsidRPr="004E1760" w:rsidRDefault="004E1760" w:rsidP="00C2122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рекомендации по методам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проведения оценки эффективности функционирования внутреннего акта антимонопольного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комплаенса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E1760" w:rsidRPr="00303AC8" w:rsidRDefault="004E1760" w:rsidP="004E1760">
            <w:pPr>
              <w:pStyle w:val="Default"/>
              <w:ind w:left="1283"/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</w:p>
          <w:p w:rsidR="00C2122F" w:rsidRDefault="00C2122F" w:rsidP="00C2122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303AC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507A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3AC8">
              <w:rPr>
                <w:rFonts w:ascii="Times New Roman" w:hAnsi="Times New Roman" w:cs="Times New Roman"/>
                <w:lang w:val="kk-KZ"/>
              </w:rPr>
              <w:t>Разработка Внешнего акта комплаенса, регулирующего ценовую политику и правила Общества в соответствии с законодательством по защите конкуренции.</w:t>
            </w:r>
          </w:p>
          <w:p w:rsidR="00303AC8" w:rsidRPr="00303AC8" w:rsidRDefault="00303AC8" w:rsidP="00C2122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2122F" w:rsidRDefault="00C2122F" w:rsidP="00C2122F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303AC8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00501D">
              <w:rPr>
                <w:rFonts w:ascii="Times New Roman" w:hAnsi="Times New Roman" w:cs="Times New Roman"/>
                <w:lang w:val="ru-RU"/>
              </w:rPr>
              <w:t>После разработки Внешнего акта Поставщик оказывает</w:t>
            </w:r>
            <w:r w:rsidRPr="00303AC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03AC8">
              <w:rPr>
                <w:rFonts w:ascii="Times New Roman" w:hAnsi="Times New Roman" w:cs="Times New Roman"/>
                <w:lang w:val="kk-KZ"/>
              </w:rPr>
              <w:t>дальнейше</w:t>
            </w:r>
            <w:r w:rsidR="0000501D">
              <w:rPr>
                <w:rFonts w:ascii="Times New Roman" w:hAnsi="Times New Roman" w:cs="Times New Roman"/>
                <w:lang w:val="kk-KZ"/>
              </w:rPr>
              <w:t>е</w:t>
            </w:r>
            <w:r w:rsidRPr="00303AC8">
              <w:rPr>
                <w:rFonts w:ascii="Times New Roman" w:hAnsi="Times New Roman" w:cs="Times New Roman"/>
                <w:lang w:val="ru-RU"/>
              </w:rPr>
              <w:t xml:space="preserve"> сопровождени</w:t>
            </w:r>
            <w:r w:rsidR="0000501D">
              <w:rPr>
                <w:rFonts w:ascii="Times New Roman" w:hAnsi="Times New Roman" w:cs="Times New Roman"/>
                <w:lang w:val="ru-RU"/>
              </w:rPr>
              <w:t>е</w:t>
            </w:r>
            <w:r w:rsidRPr="00303AC8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A82FB4">
              <w:rPr>
                <w:rFonts w:ascii="Times New Roman" w:hAnsi="Times New Roman" w:cs="Times New Roman"/>
                <w:lang w:val="ru-RU"/>
              </w:rPr>
              <w:t xml:space="preserve"> направляет в антимонопольный орган проект </w:t>
            </w:r>
            <w:r w:rsidR="00A82FB4">
              <w:rPr>
                <w:rFonts w:ascii="Times New Roman" w:hAnsi="Times New Roman" w:cs="Times New Roman"/>
                <w:lang w:val="ru-RU"/>
              </w:rPr>
              <w:lastRenderedPageBreak/>
              <w:t xml:space="preserve">внешнего акта антимонопольного </w:t>
            </w:r>
            <w:proofErr w:type="spellStart"/>
            <w:r w:rsidR="00A82FB4">
              <w:rPr>
                <w:rFonts w:ascii="Times New Roman" w:hAnsi="Times New Roman" w:cs="Times New Roman"/>
                <w:lang w:val="ru-RU"/>
              </w:rPr>
              <w:t>комплаенса</w:t>
            </w:r>
            <w:proofErr w:type="spellEnd"/>
            <w:r w:rsidR="00A82FB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93A17">
              <w:rPr>
                <w:rFonts w:ascii="Times New Roman" w:hAnsi="Times New Roman" w:cs="Times New Roman"/>
                <w:lang w:val="ru-RU"/>
              </w:rPr>
              <w:t xml:space="preserve"> для установления его соответствия нормам законодательства Республик Казахстан в области защиты конкуренции. Рассмотренный антимонопольным органом проект внешнего акта антимонопольного </w:t>
            </w:r>
            <w:proofErr w:type="spellStart"/>
            <w:r w:rsidR="00D93A17">
              <w:rPr>
                <w:rFonts w:ascii="Times New Roman" w:hAnsi="Times New Roman" w:cs="Times New Roman"/>
                <w:lang w:val="ru-RU"/>
              </w:rPr>
              <w:t>комплаенса</w:t>
            </w:r>
            <w:proofErr w:type="spellEnd"/>
            <w:r w:rsidR="00D93A17">
              <w:rPr>
                <w:rFonts w:ascii="Times New Roman" w:hAnsi="Times New Roman" w:cs="Times New Roman"/>
                <w:lang w:val="ru-RU"/>
              </w:rPr>
              <w:t xml:space="preserve"> в случае установления его соответствия нормам законодательства  Республики Казахстан </w:t>
            </w:r>
            <w:r w:rsidRPr="00303A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93A17">
              <w:rPr>
                <w:rFonts w:ascii="Times New Roman" w:hAnsi="Times New Roman" w:cs="Times New Roman"/>
                <w:lang w:val="kk-KZ"/>
              </w:rPr>
              <w:t>в области защиты конкуренции</w:t>
            </w:r>
            <w:r w:rsidR="00C720A2">
              <w:rPr>
                <w:rFonts w:ascii="Times New Roman" w:hAnsi="Times New Roman" w:cs="Times New Roman"/>
                <w:lang w:val="kk-KZ"/>
              </w:rPr>
              <w:t xml:space="preserve"> должен явля</w:t>
            </w:r>
            <w:r w:rsidR="00D93A17">
              <w:rPr>
                <w:rFonts w:ascii="Times New Roman" w:hAnsi="Times New Roman" w:cs="Times New Roman"/>
                <w:lang w:val="kk-KZ"/>
              </w:rPr>
              <w:t>тся актом разъяснения законодательства Республики Казахстан в области защиты</w:t>
            </w:r>
            <w:r w:rsidR="00FB7681">
              <w:rPr>
                <w:rFonts w:ascii="Times New Roman" w:hAnsi="Times New Roman" w:cs="Times New Roman"/>
                <w:lang w:val="kk-KZ"/>
              </w:rPr>
              <w:t xml:space="preserve"> конкуренции</w:t>
            </w:r>
            <w:r w:rsidR="00D93A1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03AC8" w:rsidRDefault="004E1760" w:rsidP="00C2122F">
            <w:pPr>
              <w:pStyle w:val="Default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Услуга считается оказанной </w:t>
            </w:r>
            <w:r w:rsidR="00C720A2">
              <w:rPr>
                <w:rFonts w:ascii="Times New Roman" w:hAnsi="Times New Roman" w:cs="Times New Roman"/>
                <w:lang w:val="kk-KZ"/>
              </w:rPr>
              <w:t xml:space="preserve">при условии полного соответствия Внешнего акта </w:t>
            </w:r>
            <w:r w:rsidR="00C720A2">
              <w:rPr>
                <w:rFonts w:ascii="Times New Roman" w:hAnsi="Times New Roman" w:cs="Times New Roman"/>
                <w:lang w:val="ru-RU"/>
              </w:rPr>
              <w:t xml:space="preserve">нормам законодательства  Республики Казахстан </w:t>
            </w:r>
            <w:r w:rsidR="00C720A2" w:rsidRPr="00303A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20A2">
              <w:rPr>
                <w:rFonts w:ascii="Times New Roman" w:hAnsi="Times New Roman" w:cs="Times New Roman"/>
                <w:lang w:val="kk-KZ"/>
              </w:rPr>
              <w:t>в области защиты конкуренции и определением  его актом разъяснения законодательства Республики Казахстан в области защиты</w:t>
            </w:r>
            <w:r w:rsidR="00FB7681">
              <w:rPr>
                <w:rFonts w:ascii="Times New Roman" w:hAnsi="Times New Roman" w:cs="Times New Roman"/>
                <w:lang w:val="kk-KZ"/>
              </w:rPr>
              <w:t xml:space="preserve"> конкуренции</w:t>
            </w:r>
            <w:r w:rsidR="00C720A2">
              <w:rPr>
                <w:rFonts w:ascii="Times New Roman" w:hAnsi="Times New Roman" w:cs="Times New Roman"/>
                <w:lang w:val="kk-KZ"/>
              </w:rPr>
              <w:t>.</w:t>
            </w:r>
            <w:r w:rsidR="006F7DE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F7DEF" w:rsidRPr="000A67C3" w:rsidRDefault="006F7DEF" w:rsidP="00C2122F">
            <w:pPr>
              <w:pStyle w:val="Default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2122F" w:rsidRPr="006F7DEF" w:rsidRDefault="00C2122F" w:rsidP="006F7D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6F7DEF">
              <w:rPr>
                <w:color w:val="000000"/>
                <w:sz w:val="24"/>
                <w:szCs w:val="24"/>
                <w:lang w:val="ru-RU"/>
              </w:rPr>
              <w:t xml:space="preserve">   </w:t>
            </w:r>
            <w:r w:rsidR="00A82FB4" w:rsidRPr="006F7DEF">
              <w:rPr>
                <w:rFonts w:eastAsia="Arial"/>
                <w:sz w:val="24"/>
                <w:szCs w:val="24"/>
                <w:lang w:val="ru-RU"/>
              </w:rPr>
              <w:t xml:space="preserve">  </w:t>
            </w:r>
            <w:r w:rsidR="00A82FB4" w:rsidRPr="006F7DEF">
              <w:rPr>
                <w:sz w:val="24"/>
                <w:szCs w:val="24"/>
                <w:lang w:val="ru-RU"/>
              </w:rPr>
              <w:t xml:space="preserve">Для оказания услуги Исполнителю будет представлена информация, </w:t>
            </w:r>
            <w:r w:rsidR="00A82FB4" w:rsidRPr="006F7DEF">
              <w:rPr>
                <w:color w:val="000000" w:themeColor="text1"/>
                <w:sz w:val="24"/>
                <w:szCs w:val="24"/>
                <w:lang w:val="ru-RU"/>
              </w:rPr>
              <w:t xml:space="preserve">в том числе </w:t>
            </w:r>
            <w:r w:rsidR="00A82FB4" w:rsidRPr="006F7DEF">
              <w:rPr>
                <w:rStyle w:val="s0"/>
                <w:color w:val="000000" w:themeColor="text1"/>
                <w:lang w:val="ru-RU"/>
              </w:rPr>
              <w:t xml:space="preserve">составляющая </w:t>
            </w:r>
            <w:bookmarkStart w:id="3" w:name="sub1000437510"/>
            <w:r w:rsidR="00A82FB4" w:rsidRPr="006F7DEF">
              <w:rPr>
                <w:color w:val="000000" w:themeColor="text1"/>
                <w:sz w:val="24"/>
                <w:szCs w:val="24"/>
              </w:rPr>
              <w:fldChar w:fldCharType="begin"/>
            </w:r>
            <w:r w:rsidR="00A82FB4" w:rsidRPr="006F7DEF">
              <w:rPr>
                <w:color w:val="000000" w:themeColor="text1"/>
                <w:sz w:val="24"/>
                <w:szCs w:val="24"/>
                <w:lang w:val="ru-RU"/>
              </w:rPr>
              <w:instrText xml:space="preserve"> </w:instrText>
            </w:r>
            <w:r w:rsidR="00A82FB4" w:rsidRPr="006F7DEF">
              <w:rPr>
                <w:color w:val="000000" w:themeColor="text1"/>
                <w:sz w:val="24"/>
                <w:szCs w:val="24"/>
              </w:rPr>
              <w:instrText>HYPERLINK</w:instrText>
            </w:r>
            <w:r w:rsidR="00A82FB4" w:rsidRPr="006F7DEF">
              <w:rPr>
                <w:color w:val="000000" w:themeColor="text1"/>
                <w:sz w:val="24"/>
                <w:szCs w:val="24"/>
                <w:lang w:val="ru-RU"/>
              </w:rPr>
              <w:instrText xml:space="preserve"> "</w:instrText>
            </w:r>
            <w:r w:rsidR="00A82FB4" w:rsidRPr="006F7DEF">
              <w:rPr>
                <w:color w:val="000000" w:themeColor="text1"/>
                <w:sz w:val="24"/>
                <w:szCs w:val="24"/>
              </w:rPr>
              <w:instrText>jl</w:instrText>
            </w:r>
            <w:r w:rsidR="00A82FB4" w:rsidRPr="006F7DEF">
              <w:rPr>
                <w:color w:val="000000" w:themeColor="text1"/>
                <w:sz w:val="24"/>
                <w:szCs w:val="24"/>
                <w:lang w:val="ru-RU"/>
              </w:rPr>
              <w:instrText xml:space="preserve">:1041258.410000 30044096.10010 " </w:instrText>
            </w:r>
            <w:r w:rsidR="00A82FB4" w:rsidRPr="006F7DEF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A82FB4" w:rsidRPr="006F7DEF">
              <w:rPr>
                <w:rStyle w:val="ab"/>
                <w:bCs/>
                <w:color w:val="000000" w:themeColor="text1"/>
                <w:sz w:val="24"/>
                <w:szCs w:val="24"/>
                <w:lang w:val="ru-RU"/>
              </w:rPr>
              <w:t>коммерческую</w:t>
            </w:r>
            <w:r w:rsidR="00A82FB4" w:rsidRPr="006F7DE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3"/>
            <w:r w:rsidR="00A82FB4" w:rsidRPr="006F7DEF">
              <w:rPr>
                <w:rStyle w:val="s0"/>
                <w:color w:val="000000" w:themeColor="text1"/>
                <w:lang w:val="ru-RU"/>
              </w:rPr>
              <w:t xml:space="preserve"> тайну Общества и являющуюс</w:t>
            </w:r>
            <w:r w:rsidR="00A82FB4" w:rsidRPr="006F7DEF">
              <w:rPr>
                <w:rStyle w:val="s0"/>
                <w:color w:val="auto"/>
                <w:lang w:val="ru-RU"/>
              </w:rPr>
              <w:t>я к</w:t>
            </w:r>
            <w:r w:rsidR="00A82FB4" w:rsidRPr="006F7DEF">
              <w:rPr>
                <w:sz w:val="24"/>
                <w:szCs w:val="24"/>
                <w:lang w:val="ru-RU"/>
              </w:rPr>
              <w:t xml:space="preserve">онфиденциальной информацией. По данному факту Заказчик берет у сотрудников компании обязательство о неразглашении коммерческой тайны.  </w:t>
            </w:r>
          </w:p>
          <w:p w:rsidR="00A82FB4" w:rsidRPr="00A82FB4" w:rsidRDefault="00A82FB4" w:rsidP="00A82FB4">
            <w:pPr>
              <w:pStyle w:val="a6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2FB4">
              <w:rPr>
                <w:rFonts w:ascii="Times New Roman" w:hAnsi="Times New Roman"/>
                <w:sz w:val="24"/>
                <w:szCs w:val="24"/>
              </w:rPr>
              <w:t>Исходными данными явля</w:t>
            </w:r>
            <w:r w:rsidR="00D93A17">
              <w:rPr>
                <w:rFonts w:ascii="Times New Roman" w:hAnsi="Times New Roman"/>
                <w:sz w:val="24"/>
                <w:szCs w:val="24"/>
              </w:rPr>
              <w:t>ю</w:t>
            </w:r>
            <w:r w:rsidRPr="00A82FB4">
              <w:rPr>
                <w:rFonts w:ascii="Times New Roman" w:hAnsi="Times New Roman"/>
                <w:sz w:val="24"/>
                <w:szCs w:val="24"/>
              </w:rPr>
              <w:t>тся результаты разработки, основанные на требованиях настоящей технической спецификации:</w:t>
            </w:r>
          </w:p>
          <w:p w:rsidR="00A82FB4" w:rsidRPr="00A82FB4" w:rsidRDefault="00A82FB4" w:rsidP="00A82FB4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628" w:hanging="26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FB4">
              <w:rPr>
                <w:rFonts w:ascii="Times New Roman" w:hAnsi="Times New Roman"/>
                <w:sz w:val="24"/>
                <w:szCs w:val="24"/>
                <w:lang w:val="kk-KZ"/>
              </w:rPr>
              <w:t>Аудированная финансовая отчетность Общества;</w:t>
            </w:r>
          </w:p>
          <w:p w:rsidR="00A82FB4" w:rsidRPr="00A82FB4" w:rsidRDefault="00A82FB4" w:rsidP="00A82FB4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628" w:hanging="26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FB4">
              <w:rPr>
                <w:rFonts w:ascii="Times New Roman" w:hAnsi="Times New Roman"/>
                <w:sz w:val="24"/>
                <w:szCs w:val="24"/>
                <w:lang w:val="kk-KZ"/>
              </w:rPr>
              <w:t>Учетная политика Общества;</w:t>
            </w:r>
          </w:p>
          <w:p w:rsidR="00A82FB4" w:rsidRPr="00A82FB4" w:rsidRDefault="00A82FB4" w:rsidP="00A82FB4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628" w:hanging="26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FB4">
              <w:rPr>
                <w:rFonts w:ascii="Times New Roman" w:hAnsi="Times New Roman"/>
                <w:sz w:val="24"/>
                <w:szCs w:val="24"/>
                <w:lang w:val="kk-KZ"/>
              </w:rPr>
              <w:t>Данные управленческой отчетности;</w:t>
            </w:r>
          </w:p>
          <w:p w:rsidR="00A82FB4" w:rsidRPr="00A82FB4" w:rsidRDefault="00A82FB4" w:rsidP="00A82FB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628" w:hanging="26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FB4">
              <w:rPr>
                <w:rFonts w:ascii="Times New Roman" w:hAnsi="Times New Roman"/>
                <w:sz w:val="24"/>
                <w:szCs w:val="24"/>
                <w:lang w:val="kk-KZ"/>
              </w:rPr>
              <w:t>Данные бухгалтерского учета;</w:t>
            </w:r>
          </w:p>
          <w:p w:rsidR="00A82FB4" w:rsidRDefault="00A82FB4" w:rsidP="00A82FB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628" w:hanging="26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FB4">
              <w:rPr>
                <w:rFonts w:ascii="Times New Roman" w:hAnsi="Times New Roman"/>
                <w:sz w:val="24"/>
                <w:szCs w:val="24"/>
                <w:lang w:val="kk-KZ"/>
              </w:rPr>
              <w:t>Другие данные (договора, акты, расчеты, документы, решения, приказы, протоколы, методики) необходимые в процессе оказания услуг.</w:t>
            </w:r>
          </w:p>
          <w:p w:rsidR="00A82FB4" w:rsidRPr="00A82FB4" w:rsidRDefault="00A82FB4" w:rsidP="00A82FB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Pr="00CB2B5E">
              <w:rPr>
                <w:sz w:val="24"/>
                <w:szCs w:val="24"/>
                <w:lang w:val="ru-RU"/>
              </w:rPr>
              <w:t>Результаты разработки должны охватывать все затронутые в настоящей технической спецификации аспекты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82FB4" w:rsidRPr="00A82FB4" w:rsidRDefault="00A82FB4" w:rsidP="00A82FB4">
            <w:pPr>
              <w:pStyle w:val="Default"/>
              <w:jc w:val="both"/>
              <w:rPr>
                <w:rFonts w:ascii="Times New Roman" w:eastAsia="Arial" w:hAnsi="Times New Roman" w:cs="Times New Roman"/>
                <w:color w:val="auto"/>
                <w:lang w:val="kk-KZ"/>
              </w:rPr>
            </w:pPr>
          </w:p>
          <w:p w:rsidR="000C28B5" w:rsidRPr="00972C47" w:rsidRDefault="00273057" w:rsidP="00972C47">
            <w:pPr>
              <w:pStyle w:val="Default"/>
              <w:jc w:val="both"/>
              <w:rPr>
                <w:rFonts w:ascii="Times New Roman" w:eastAsia="Arial" w:hAnsi="Times New Roman" w:cs="Times New Roman"/>
                <w:color w:val="auto"/>
                <w:lang w:val="ru-RU"/>
              </w:rPr>
            </w:pPr>
            <w:r w:rsidRPr="00273057">
              <w:rPr>
                <w:rFonts w:ascii="Times New Roman" w:eastAsia="Arial" w:hAnsi="Times New Roman" w:cs="Times New Roman"/>
                <w:color w:val="auto"/>
                <w:lang w:val="ru-RU"/>
              </w:rPr>
              <w:t xml:space="preserve">  </w:t>
            </w:r>
            <w:r w:rsidR="00507A9C">
              <w:rPr>
                <w:rFonts w:ascii="Times New Roman" w:eastAsia="Arial" w:hAnsi="Times New Roman" w:cs="Times New Roman"/>
                <w:color w:val="auto"/>
                <w:lang w:val="ru-RU"/>
              </w:rPr>
              <w:t>О</w:t>
            </w:r>
            <w:r>
              <w:rPr>
                <w:rFonts w:ascii="Times New Roman" w:eastAsia="Arial" w:hAnsi="Times New Roman" w:cs="Times New Roman"/>
                <w:color w:val="auto"/>
                <w:lang w:val="ru-RU"/>
              </w:rPr>
              <w:t>плата</w:t>
            </w:r>
            <w:r w:rsidR="00507A9C">
              <w:rPr>
                <w:rFonts w:ascii="Times New Roman" w:eastAsia="Arial" w:hAnsi="Times New Roman" w:cs="Times New Roman"/>
                <w:color w:val="auto"/>
                <w:lang w:val="ru-RU"/>
              </w:rPr>
              <w:t xml:space="preserve"> за предоставленные услуги </w:t>
            </w:r>
            <w:r>
              <w:rPr>
                <w:rFonts w:ascii="Times New Roman" w:eastAsia="Arial" w:hAnsi="Times New Roman" w:cs="Times New Roman"/>
                <w:color w:val="auto"/>
                <w:lang w:val="ru-RU"/>
              </w:rPr>
              <w:t xml:space="preserve"> </w:t>
            </w:r>
            <w:r w:rsidR="00972C47">
              <w:rPr>
                <w:rFonts w:ascii="Times New Roman" w:eastAsia="Arial" w:hAnsi="Times New Roman" w:cs="Times New Roman"/>
                <w:color w:val="auto"/>
                <w:lang w:val="ru-RU"/>
              </w:rPr>
              <w:t>производится</w:t>
            </w:r>
            <w:r>
              <w:rPr>
                <w:rFonts w:ascii="Times New Roman" w:eastAsia="Arial" w:hAnsi="Times New Roman" w:cs="Times New Roman"/>
                <w:color w:val="auto"/>
                <w:lang w:val="ru-RU"/>
              </w:rPr>
              <w:t xml:space="preserve"> в два этапа.</w:t>
            </w:r>
            <w:r w:rsidR="00507A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72C47">
              <w:rPr>
                <w:rFonts w:ascii="Times New Roman" w:hAnsi="Times New Roman" w:cs="Times New Roman"/>
                <w:lang w:val="ru-RU"/>
              </w:rPr>
              <w:t xml:space="preserve">Промежуточный платеж </w:t>
            </w:r>
            <w:r w:rsidR="00972C47" w:rsidRPr="00273057">
              <w:rPr>
                <w:rFonts w:ascii="Times New Roman" w:hAnsi="Times New Roman" w:cs="Times New Roman"/>
                <w:lang w:val="ru-RU"/>
              </w:rPr>
              <w:t xml:space="preserve">в размере </w:t>
            </w:r>
            <w:r w:rsidR="00972C47">
              <w:rPr>
                <w:rFonts w:ascii="Times New Roman" w:hAnsi="Times New Roman" w:cs="Times New Roman"/>
                <w:lang w:val="ru-RU"/>
              </w:rPr>
              <w:t>30</w:t>
            </w:r>
            <w:r w:rsidR="00972C47" w:rsidRPr="00273057">
              <w:rPr>
                <w:rFonts w:ascii="Times New Roman" w:hAnsi="Times New Roman" w:cs="Times New Roman"/>
                <w:lang w:val="ru-RU"/>
              </w:rPr>
              <w:t xml:space="preserve">% </w:t>
            </w:r>
            <w:r w:rsidR="00972C47">
              <w:rPr>
                <w:rFonts w:ascii="Times New Roman" w:hAnsi="Times New Roman" w:cs="Times New Roman"/>
                <w:lang w:val="ru-RU"/>
              </w:rPr>
              <w:t xml:space="preserve">от </w:t>
            </w:r>
            <w:r w:rsidR="00972C47" w:rsidRPr="00273057">
              <w:rPr>
                <w:rFonts w:ascii="Times New Roman" w:hAnsi="Times New Roman" w:cs="Times New Roman"/>
                <w:lang w:val="ru-RU"/>
              </w:rPr>
              <w:t>суммы</w:t>
            </w:r>
            <w:r w:rsidR="00972C47">
              <w:rPr>
                <w:rFonts w:ascii="Times New Roman" w:hAnsi="Times New Roman" w:cs="Times New Roman"/>
                <w:lang w:val="ru-RU"/>
              </w:rPr>
              <w:t xml:space="preserve"> Договора - п</w:t>
            </w:r>
            <w:r w:rsidR="00AC481B">
              <w:rPr>
                <w:rFonts w:ascii="Times New Roman" w:hAnsi="Times New Roman" w:cs="Times New Roman"/>
                <w:lang w:val="ru-RU"/>
              </w:rPr>
              <w:t xml:space="preserve">осле </w:t>
            </w:r>
            <w:r w:rsidR="00AC481B">
              <w:rPr>
                <w:rFonts w:ascii="Times New Roman" w:hAnsi="Times New Roman" w:cs="Times New Roman"/>
                <w:lang w:val="kk-KZ"/>
              </w:rPr>
              <w:t xml:space="preserve">утверждения Обществом </w:t>
            </w:r>
            <w:r w:rsidR="00972C47">
              <w:rPr>
                <w:rFonts w:ascii="Times New Roman" w:hAnsi="Times New Roman" w:cs="Times New Roman"/>
                <w:lang w:val="ru-RU"/>
              </w:rPr>
              <w:t xml:space="preserve">Внутреннего акта </w:t>
            </w:r>
            <w:proofErr w:type="spellStart"/>
            <w:r w:rsidR="00972C47">
              <w:rPr>
                <w:rFonts w:ascii="Times New Roman" w:hAnsi="Times New Roman" w:cs="Times New Roman"/>
                <w:lang w:val="ru-RU"/>
              </w:rPr>
              <w:t>комплаенса</w:t>
            </w:r>
            <w:proofErr w:type="spellEnd"/>
            <w:r w:rsidR="00972C47">
              <w:rPr>
                <w:rFonts w:ascii="Times New Roman" w:hAnsi="Times New Roman" w:cs="Times New Roman"/>
                <w:lang w:val="ru-RU"/>
              </w:rPr>
              <w:t xml:space="preserve">. Окончательный платеж </w:t>
            </w:r>
            <w:r w:rsidR="00972C47" w:rsidRPr="00273057">
              <w:rPr>
                <w:rFonts w:ascii="Times New Roman" w:hAnsi="Times New Roman" w:cs="Times New Roman"/>
                <w:lang w:val="ru-RU"/>
              </w:rPr>
              <w:t xml:space="preserve">в размере </w:t>
            </w:r>
            <w:r w:rsidR="00972C47">
              <w:rPr>
                <w:rFonts w:ascii="Times New Roman" w:hAnsi="Times New Roman" w:cs="Times New Roman"/>
                <w:lang w:val="ru-RU"/>
              </w:rPr>
              <w:t>70</w:t>
            </w:r>
            <w:r w:rsidR="00972C47" w:rsidRPr="00273057">
              <w:rPr>
                <w:rFonts w:ascii="Times New Roman" w:hAnsi="Times New Roman" w:cs="Times New Roman"/>
                <w:lang w:val="ru-RU"/>
              </w:rPr>
              <w:t>% от суммы</w:t>
            </w:r>
            <w:r w:rsidR="00972C47">
              <w:rPr>
                <w:rFonts w:ascii="Times New Roman" w:hAnsi="Times New Roman" w:cs="Times New Roman"/>
                <w:lang w:val="ru-RU"/>
              </w:rPr>
              <w:t xml:space="preserve"> Договора - </w:t>
            </w:r>
            <w:r w:rsidR="00972C47">
              <w:rPr>
                <w:rFonts w:ascii="Times New Roman" w:eastAsia="Arial" w:hAnsi="Times New Roman" w:cs="Times New Roman"/>
                <w:color w:val="auto"/>
                <w:lang w:val="ru-RU"/>
              </w:rPr>
              <w:t xml:space="preserve"> </w:t>
            </w:r>
            <w:r w:rsidR="00972C47">
              <w:rPr>
                <w:rFonts w:ascii="Times New Roman" w:hAnsi="Times New Roman" w:cs="Times New Roman"/>
                <w:lang w:val="ru-RU"/>
              </w:rPr>
              <w:t>п</w:t>
            </w:r>
            <w:r w:rsidR="00AC481B">
              <w:rPr>
                <w:rFonts w:ascii="Times New Roman" w:hAnsi="Times New Roman" w:cs="Times New Roman"/>
                <w:lang w:val="ru-RU"/>
              </w:rPr>
              <w:t>о итогам согласования</w:t>
            </w:r>
            <w:r w:rsidR="00507A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07A9C">
              <w:rPr>
                <w:rFonts w:ascii="Times New Roman" w:hAnsi="Times New Roman" w:cs="Times New Roman"/>
                <w:lang w:val="kk-KZ"/>
              </w:rPr>
              <w:t xml:space="preserve">Внешнего акта </w:t>
            </w:r>
            <w:r w:rsidR="00AC481B">
              <w:rPr>
                <w:rFonts w:ascii="Times New Roman" w:hAnsi="Times New Roman" w:cs="Times New Roman"/>
                <w:lang w:val="kk-KZ"/>
              </w:rPr>
              <w:t>с</w:t>
            </w:r>
            <w:r w:rsidR="00717D3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17D35">
              <w:rPr>
                <w:rFonts w:ascii="Times New Roman" w:hAnsi="Times New Roman" w:cs="Times New Roman"/>
                <w:lang w:val="kk-KZ"/>
              </w:rPr>
              <w:lastRenderedPageBreak/>
              <w:t xml:space="preserve">антимонопольным органом и признания его </w:t>
            </w:r>
            <w:r w:rsidR="00AC481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17D35">
              <w:rPr>
                <w:rFonts w:ascii="Times New Roman" w:hAnsi="Times New Roman" w:cs="Times New Roman"/>
                <w:lang w:val="kk-KZ"/>
              </w:rPr>
              <w:t>актом разъяснения законодательства Республики Казахстан в области защиты</w:t>
            </w:r>
            <w:r w:rsidR="00972C47">
              <w:rPr>
                <w:rFonts w:ascii="Times New Roman" w:hAnsi="Times New Roman" w:cs="Times New Roman"/>
                <w:lang w:val="ru-RU"/>
              </w:rPr>
              <w:t xml:space="preserve"> конкуренции.</w:t>
            </w:r>
          </w:p>
        </w:tc>
      </w:tr>
      <w:tr w:rsidR="000C28B5" w:rsidRPr="00CC31DC" w:rsidTr="00C2122F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303AC8">
              <w:rPr>
                <w:color w:val="000000"/>
                <w:sz w:val="24"/>
                <w:szCs w:val="24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0C28B5" w:rsidRPr="00303AC8" w:rsidRDefault="000C28B5" w:rsidP="0009530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C28B5" w:rsidRPr="00303AC8" w:rsidRDefault="000C28B5" w:rsidP="000C28B5">
      <w:pPr>
        <w:spacing w:after="0"/>
        <w:jc w:val="both"/>
        <w:rPr>
          <w:sz w:val="24"/>
          <w:szCs w:val="24"/>
          <w:lang w:val="ru-RU"/>
        </w:rPr>
      </w:pPr>
      <w:bookmarkStart w:id="4" w:name="z2393"/>
      <w:r w:rsidRPr="00303AC8">
        <w:rPr>
          <w:color w:val="000000"/>
          <w:sz w:val="24"/>
          <w:szCs w:val="24"/>
        </w:rPr>
        <w:t>     </w:t>
      </w:r>
      <w:r w:rsidRPr="00303AC8">
        <w:rPr>
          <w:color w:val="000000"/>
          <w:sz w:val="24"/>
          <w:szCs w:val="24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0C28B5" w:rsidRPr="00303AC8" w:rsidRDefault="000C28B5" w:rsidP="000C28B5">
      <w:pPr>
        <w:spacing w:after="0"/>
        <w:jc w:val="both"/>
        <w:rPr>
          <w:sz w:val="24"/>
          <w:szCs w:val="24"/>
          <w:lang w:val="ru-RU"/>
        </w:rPr>
      </w:pPr>
      <w:bookmarkStart w:id="5" w:name="z2394"/>
      <w:bookmarkEnd w:id="4"/>
      <w:r w:rsidRPr="00303AC8">
        <w:rPr>
          <w:color w:val="000000"/>
          <w:sz w:val="24"/>
          <w:szCs w:val="24"/>
        </w:rPr>
        <w:t>     </w:t>
      </w:r>
      <w:r w:rsidRPr="00303AC8">
        <w:rPr>
          <w:color w:val="000000"/>
          <w:sz w:val="24"/>
          <w:szCs w:val="24"/>
          <w:lang w:val="ru-RU"/>
        </w:rPr>
        <w:t xml:space="preserve"> Примечание.</w:t>
      </w:r>
    </w:p>
    <w:p w:rsidR="000C28B5" w:rsidRPr="00303AC8" w:rsidRDefault="000C28B5" w:rsidP="000C28B5">
      <w:pPr>
        <w:spacing w:after="0"/>
        <w:jc w:val="both"/>
        <w:rPr>
          <w:sz w:val="24"/>
          <w:szCs w:val="24"/>
          <w:lang w:val="ru-RU"/>
        </w:rPr>
      </w:pPr>
      <w:bookmarkStart w:id="6" w:name="z2395"/>
      <w:bookmarkEnd w:id="5"/>
      <w:r w:rsidRPr="00303AC8">
        <w:rPr>
          <w:color w:val="000000"/>
          <w:sz w:val="24"/>
          <w:szCs w:val="24"/>
        </w:rPr>
        <w:t>     </w:t>
      </w:r>
      <w:r w:rsidRPr="00303AC8">
        <w:rPr>
          <w:color w:val="000000"/>
          <w:sz w:val="24"/>
          <w:szCs w:val="24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0C28B5" w:rsidRPr="00303AC8" w:rsidRDefault="000C28B5" w:rsidP="000C28B5">
      <w:pPr>
        <w:spacing w:after="0"/>
        <w:jc w:val="both"/>
        <w:rPr>
          <w:sz w:val="24"/>
          <w:szCs w:val="24"/>
          <w:lang w:val="ru-RU"/>
        </w:rPr>
      </w:pPr>
      <w:bookmarkStart w:id="7" w:name="z2396"/>
      <w:bookmarkEnd w:id="6"/>
      <w:r w:rsidRPr="00303AC8">
        <w:rPr>
          <w:color w:val="000000"/>
          <w:sz w:val="24"/>
          <w:szCs w:val="24"/>
        </w:rPr>
        <w:t>     </w:t>
      </w:r>
      <w:r w:rsidRPr="00303AC8">
        <w:rPr>
          <w:color w:val="000000"/>
          <w:sz w:val="24"/>
          <w:szCs w:val="24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610E17" w:rsidRPr="00FE0732" w:rsidRDefault="000C28B5" w:rsidP="000C28B5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8" w:name="z2397"/>
      <w:bookmarkEnd w:id="7"/>
      <w:r w:rsidRPr="00303AC8">
        <w:rPr>
          <w:color w:val="000000"/>
          <w:sz w:val="24"/>
          <w:szCs w:val="24"/>
        </w:rPr>
        <w:t>     </w:t>
      </w:r>
      <w:r w:rsidRPr="00303AC8">
        <w:rPr>
          <w:color w:val="000000"/>
          <w:sz w:val="24"/>
          <w:szCs w:val="24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8"/>
    </w:p>
    <w:sectPr w:rsidR="00610E17" w:rsidRPr="00FE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26C"/>
    <w:multiLevelType w:val="hybridMultilevel"/>
    <w:tmpl w:val="94E21516"/>
    <w:lvl w:ilvl="0" w:tplc="7DD6F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95053"/>
    <w:multiLevelType w:val="hybridMultilevel"/>
    <w:tmpl w:val="A43C1C3E"/>
    <w:lvl w:ilvl="0" w:tplc="7DD6F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12FF2"/>
    <w:multiLevelType w:val="hybridMultilevel"/>
    <w:tmpl w:val="361AF28A"/>
    <w:lvl w:ilvl="0" w:tplc="7DD6F4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D9108A"/>
    <w:multiLevelType w:val="hybridMultilevel"/>
    <w:tmpl w:val="B6D8F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22068"/>
    <w:multiLevelType w:val="hybridMultilevel"/>
    <w:tmpl w:val="6CD4679A"/>
    <w:lvl w:ilvl="0" w:tplc="7DD6F44E">
      <w:start w:val="1"/>
      <w:numFmt w:val="bullet"/>
      <w:lvlText w:val="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5">
    <w:nsid w:val="3D8D0BFA"/>
    <w:multiLevelType w:val="hybridMultilevel"/>
    <w:tmpl w:val="50982BCC"/>
    <w:lvl w:ilvl="0" w:tplc="7DD6F4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2F4C50"/>
    <w:multiLevelType w:val="hybridMultilevel"/>
    <w:tmpl w:val="6598F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0501D"/>
    <w:rsid w:val="000932A6"/>
    <w:rsid w:val="000A67C3"/>
    <w:rsid w:val="000C28B5"/>
    <w:rsid w:val="00201CC5"/>
    <w:rsid w:val="00272D08"/>
    <w:rsid w:val="00273057"/>
    <w:rsid w:val="002B1076"/>
    <w:rsid w:val="00303AC8"/>
    <w:rsid w:val="004E1760"/>
    <w:rsid w:val="00507A9C"/>
    <w:rsid w:val="00610E17"/>
    <w:rsid w:val="006F7DEF"/>
    <w:rsid w:val="00717D35"/>
    <w:rsid w:val="0077762F"/>
    <w:rsid w:val="00837659"/>
    <w:rsid w:val="009604C8"/>
    <w:rsid w:val="00972C47"/>
    <w:rsid w:val="00A82FB4"/>
    <w:rsid w:val="00A9081B"/>
    <w:rsid w:val="00AC481B"/>
    <w:rsid w:val="00AF41E1"/>
    <w:rsid w:val="00AF569E"/>
    <w:rsid w:val="00C2122F"/>
    <w:rsid w:val="00C31623"/>
    <w:rsid w:val="00C720A2"/>
    <w:rsid w:val="00CC31DC"/>
    <w:rsid w:val="00D53309"/>
    <w:rsid w:val="00D869F9"/>
    <w:rsid w:val="00D93A17"/>
    <w:rsid w:val="00E9714F"/>
    <w:rsid w:val="00EB1843"/>
    <w:rsid w:val="00FB7681"/>
    <w:rsid w:val="00FE0732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72D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C2122F"/>
    <w:pPr>
      <w:ind w:left="720"/>
      <w:contextualSpacing/>
      <w:jc w:val="both"/>
    </w:pPr>
    <w:rPr>
      <w:rFonts w:asciiTheme="minorHAnsi" w:eastAsiaTheme="minorEastAsia" w:hAnsiTheme="minorHAnsi" w:cstheme="minorBidi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C2122F"/>
    <w:pPr>
      <w:tabs>
        <w:tab w:val="center" w:pos="4677"/>
        <w:tab w:val="right" w:pos="9355"/>
      </w:tabs>
      <w:spacing w:after="0" w:line="240" w:lineRule="auto"/>
      <w:jc w:val="both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2122F"/>
    <w:rPr>
      <w:rFonts w:eastAsiaTheme="minorEastAsia"/>
      <w:lang w:eastAsia="ru-RU"/>
    </w:rPr>
  </w:style>
  <w:style w:type="paragraph" w:styleId="a9">
    <w:name w:val="Body Text"/>
    <w:basedOn w:val="a"/>
    <w:link w:val="aa"/>
    <w:unhideWhenUsed/>
    <w:qFormat/>
    <w:rsid w:val="00AF41E1"/>
    <w:pPr>
      <w:spacing w:after="240" w:line="240" w:lineRule="atLeast"/>
    </w:pPr>
    <w:rPr>
      <w:rFonts w:ascii="Georgia" w:eastAsia="Arial" w:hAnsi="Georgia"/>
      <w:sz w:val="20"/>
      <w:szCs w:val="20"/>
      <w:lang w:val="en-GB"/>
    </w:rPr>
  </w:style>
  <w:style w:type="character" w:customStyle="1" w:styleId="aa">
    <w:name w:val="Основной текст Знак"/>
    <w:basedOn w:val="a0"/>
    <w:link w:val="a9"/>
    <w:rsid w:val="00AF41E1"/>
    <w:rPr>
      <w:rFonts w:ascii="Georgia" w:eastAsia="Arial" w:hAnsi="Georgia" w:cs="Times New Roman"/>
      <w:sz w:val="20"/>
      <w:szCs w:val="20"/>
      <w:lang w:val="en-GB"/>
    </w:rPr>
  </w:style>
  <w:style w:type="character" w:customStyle="1" w:styleId="s0">
    <w:name w:val="s0"/>
    <w:basedOn w:val="a0"/>
    <w:rsid w:val="00A82F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b">
    <w:name w:val="Hyperlink"/>
    <w:basedOn w:val="a0"/>
    <w:uiPriority w:val="99"/>
    <w:semiHidden/>
    <w:unhideWhenUsed/>
    <w:rsid w:val="00A82FB4"/>
    <w:rPr>
      <w:rFonts w:ascii="Times New Roman" w:hAnsi="Times New Roman" w:cs="Times New Roman" w:hint="default"/>
      <w:color w:val="333399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A82FB4"/>
    <w:pPr>
      <w:spacing w:after="120" w:line="480" w:lineRule="auto"/>
      <w:jc w:val="both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2FB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72D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C2122F"/>
    <w:pPr>
      <w:ind w:left="720"/>
      <w:contextualSpacing/>
      <w:jc w:val="both"/>
    </w:pPr>
    <w:rPr>
      <w:rFonts w:asciiTheme="minorHAnsi" w:eastAsiaTheme="minorEastAsia" w:hAnsiTheme="minorHAnsi" w:cstheme="minorBidi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C2122F"/>
    <w:pPr>
      <w:tabs>
        <w:tab w:val="center" w:pos="4677"/>
        <w:tab w:val="right" w:pos="9355"/>
      </w:tabs>
      <w:spacing w:after="0" w:line="240" w:lineRule="auto"/>
      <w:jc w:val="both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2122F"/>
    <w:rPr>
      <w:rFonts w:eastAsiaTheme="minorEastAsia"/>
      <w:lang w:eastAsia="ru-RU"/>
    </w:rPr>
  </w:style>
  <w:style w:type="paragraph" w:styleId="a9">
    <w:name w:val="Body Text"/>
    <w:basedOn w:val="a"/>
    <w:link w:val="aa"/>
    <w:unhideWhenUsed/>
    <w:qFormat/>
    <w:rsid w:val="00AF41E1"/>
    <w:pPr>
      <w:spacing w:after="240" w:line="240" w:lineRule="atLeast"/>
    </w:pPr>
    <w:rPr>
      <w:rFonts w:ascii="Georgia" w:eastAsia="Arial" w:hAnsi="Georgia"/>
      <w:sz w:val="20"/>
      <w:szCs w:val="20"/>
      <w:lang w:val="en-GB"/>
    </w:rPr>
  </w:style>
  <w:style w:type="character" w:customStyle="1" w:styleId="aa">
    <w:name w:val="Основной текст Знак"/>
    <w:basedOn w:val="a0"/>
    <w:link w:val="a9"/>
    <w:rsid w:val="00AF41E1"/>
    <w:rPr>
      <w:rFonts w:ascii="Georgia" w:eastAsia="Arial" w:hAnsi="Georgia" w:cs="Times New Roman"/>
      <w:sz w:val="20"/>
      <w:szCs w:val="20"/>
      <w:lang w:val="en-GB"/>
    </w:rPr>
  </w:style>
  <w:style w:type="character" w:customStyle="1" w:styleId="s0">
    <w:name w:val="s0"/>
    <w:basedOn w:val="a0"/>
    <w:rsid w:val="00A82F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b">
    <w:name w:val="Hyperlink"/>
    <w:basedOn w:val="a0"/>
    <w:uiPriority w:val="99"/>
    <w:semiHidden/>
    <w:unhideWhenUsed/>
    <w:rsid w:val="00A82FB4"/>
    <w:rPr>
      <w:rFonts w:ascii="Times New Roman" w:hAnsi="Times New Roman" w:cs="Times New Roman" w:hint="default"/>
      <w:color w:val="333399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A82FB4"/>
    <w:pPr>
      <w:spacing w:after="120" w:line="480" w:lineRule="auto"/>
      <w:jc w:val="both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2FB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Gakku Mamiyeva</cp:lastModifiedBy>
  <cp:revision>22</cp:revision>
  <cp:lastPrinted>2022-06-24T03:18:00Z</cp:lastPrinted>
  <dcterms:created xsi:type="dcterms:W3CDTF">2022-06-20T09:32:00Z</dcterms:created>
  <dcterms:modified xsi:type="dcterms:W3CDTF">2022-07-07T04:01:00Z</dcterms:modified>
</cp:coreProperties>
</file>