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14" w:rsidRPr="00336814" w:rsidRDefault="00336814" w:rsidP="00336814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336814" w:rsidRPr="00336814" w:rsidRDefault="00336814" w:rsidP="00336814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hyperlink r:id="rId6" w:history="1">
        <w:r w:rsidRPr="0033681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конкурсной документации</w:t>
        </w:r>
      </w:hyperlink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6814" w:rsidRPr="00336814" w:rsidRDefault="00336814" w:rsidP="003368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Техническая спецификация</w:t>
      </w:r>
      <w:r w:rsidRPr="00336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закупаемых товаров (заполняется заказчиком)</w:t>
      </w:r>
    </w:p>
    <w:p w:rsidR="00336814" w:rsidRPr="00336814" w:rsidRDefault="00336814" w:rsidP="00336814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заказчика __________________________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организатора АО «</w:t>
      </w:r>
      <w:proofErr w:type="spellStart"/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Казтелерадио</w:t>
      </w:r>
      <w:proofErr w:type="spellEnd"/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конкурса _____________________________________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конкурса Коммутационное оборудование</w:t>
      </w:r>
      <w:bookmarkStart w:id="0" w:name="_GoBack"/>
      <w:bookmarkEnd w:id="0"/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лота _________________________________________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лота Коммутационное оборудование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336814" w:rsidRPr="00336814" w:rsidTr="00AC5A9D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поставки (в соответствии с ИНКОТЕРМС 2010)*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поставки*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keepNext/>
              <w:keepLines/>
              <w:spacing w:after="0" w:line="259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 выпуска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8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старее 2022 года</w:t>
            </w: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12 месяцев </w:t>
            </w: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keepNext/>
              <w:keepLines/>
              <w:numPr>
                <w:ilvl w:val="0"/>
                <w:numId w:val="5"/>
              </w:num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Общие требования  </w:t>
            </w:r>
          </w:p>
          <w:p w:rsidR="00336814" w:rsidRPr="00336814" w:rsidRDefault="00336814" w:rsidP="00336814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33681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должно быть поставлено новым (не бывшим в использовании) в неповрежденной упаковке изготовителя, снабженной соответствующими атрибутами, подтверждающими их подлинность, быть надлежащего качества, в соответствии с технической документацией, прилагающийся к оборудованию изготовителем, и требованиями сертификации соответствующего оборудования, действующими на территории Республики Казахстан. </w:t>
            </w:r>
            <w:proofErr w:type="gramEnd"/>
          </w:p>
          <w:p w:rsidR="00336814" w:rsidRPr="00336814" w:rsidRDefault="00336814" w:rsidP="00336814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681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 оборудования по адресу доставки, разгрузка-погрузка оборудования (c обеспечением грузчиками и при необходимости специальными техническими средствами) выполняются силами и за счет Поставщика. Разгрузка осуществляется в указанное Заказчиком помещение и место. </w:t>
            </w:r>
          </w:p>
          <w:p w:rsidR="00336814" w:rsidRPr="00336814" w:rsidRDefault="00336814" w:rsidP="00336814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Поставщик обязуется предоставить автор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изационное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письмо от производителя оборудования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в конкурсной документации.</w:t>
            </w:r>
          </w:p>
          <w:p w:rsidR="00336814" w:rsidRPr="00336814" w:rsidRDefault="00336814" w:rsidP="00336814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814" w:rsidRPr="00336814" w:rsidRDefault="00336814" w:rsidP="00336814">
            <w:pPr>
              <w:keepNext/>
              <w:keepLines/>
              <w:tabs>
                <w:tab w:val="left" w:pos="467"/>
              </w:tabs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Функциональные и технические требования </w:t>
            </w:r>
          </w:p>
          <w:p w:rsidR="00336814" w:rsidRPr="00336814" w:rsidRDefault="00336814" w:rsidP="00336814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Конфигурация поставляемого сетевого оборудования должна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удовлетворять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следующим техническим требованиям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336814" w:rsidRPr="00336814" w:rsidRDefault="00336814" w:rsidP="00336814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tabs>
                <w:tab w:val="left" w:pos="467"/>
              </w:tabs>
              <w:spacing w:after="0" w:line="259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Требования к оборудованию 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характеристики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сетевого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оборудования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согласно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следующей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комплектации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быть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более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1RU при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монтаже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стандартную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19” стойку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иметь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комбо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порта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Gigabit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Ethernet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возможностью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установки SFP модуля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иметь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одного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порта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ADSL2/VDSL2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Порт типа RJ-45 и SFP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работу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режиме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auto-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failover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возможность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выбора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основного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вторичного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канала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связи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зависимости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от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состояния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оптического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медного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интерфейса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иметь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встроенный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коммутатор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портов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10/100/1000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Ethernet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Встроенный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коммутатор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4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PoE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портов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PoE+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портов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установку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модулей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4G/LTE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быть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оснащен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мене 8 ГБ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оперативной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памяти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быть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оснащен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мене 8 ГБ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flash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памяти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иметь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модульную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 и позволять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перезапускать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отдельные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процессы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нарушая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работы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остальных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иметь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возможность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замены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операционной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два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режима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работы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классический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маршрутизация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коммутация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автономный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режим и режим SD-WAN -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централизованно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помощью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внешнего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контроллера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Режим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работы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зависит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от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версии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операционной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двух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типов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классическая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SD-WAN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операционная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система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В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режиме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работы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SD-WAN 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единый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протокол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 точки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зрения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инжектирования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маршрутной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информации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обмена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ключами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шифрования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организации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безопасных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каналов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связи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от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контроллеров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маршрутизатора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между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маршрутизаторами с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целью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функциями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SD-WAN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обеспечивать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увеличение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производительности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замены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изменения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добавления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нового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оборудования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syslog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NetFlow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SNMP, RMON и IPFIX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протоколы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иметь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распознавания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приложений на L3-L7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уровнях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Должна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быть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возможность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определять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пользовательские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приложения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быть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функционал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мониторинга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сбора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экспорта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(по протоколу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согласно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RFC-7011)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информации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производительности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распознаваемых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приложений. На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собранных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данных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внешней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должна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быть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возможность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приоритезацией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приложений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распознавания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приложений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должна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активироваться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дополнительной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лицензией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входящей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состав маршрутизатора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балансировку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трафика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 маршрутам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неэквивалентной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стоимости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помощью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динамического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протокола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маршрутизации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технологию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оптимизированной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маршрутизации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граничного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уровня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позволяющую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обеспечить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интеллектуальную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маршрутизацию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балансировку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распределения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трафика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между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каналами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данных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внешней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границе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корпоративной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сети на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данных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производительности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каналов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время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реагирования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коэффициент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потери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пакетов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вариация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задержки,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доступность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пути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политики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балансировки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трафика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минимизации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затрат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Платформа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должна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технологию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распознавания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угроз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зашифрованном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трафике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расшифровывания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трафика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межсетевого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экранирования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включая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возможность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группирования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физических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и/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логических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интерфейсов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зоны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безопасности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применения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 ним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групповых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зоновых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политик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безопасности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межсетевого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экрана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должна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активироваться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дополнительной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лицензией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входящей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состав маршрутизатора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работу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BFD для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протоколов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IP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маршрутизации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иметь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одного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порта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USB 3.0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поддерживающий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USB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Flash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USB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eToken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одного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micro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USB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порта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консольного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доступа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 маршрутизатору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Маршрутизатор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потреблять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более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250 Вт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Вес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маршрутизатора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превышать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2.08 Кг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26.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Размер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маршрутизатора не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должен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превышать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(В х Г х Ш) - 42 x 323 x 227 мм.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характеристики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сетевого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оборудования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</w:t>
            </w: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согласно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следующей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комплектации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портов на коммутаторе 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е менее 48 </w:t>
            </w:r>
            <w:proofErr w:type="spellStart"/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Gigabit</w:t>
            </w:r>
            <w:proofErr w:type="spellEnd"/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Ethernet</w:t>
            </w:r>
            <w:proofErr w:type="spellEnd"/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10/100/1000BASE-T;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Встроенные порты не менее 4, оснащенные разъемами для установки трансиверов типа SFP 1Gbps;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технологии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PoE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(IEEE 802.3af 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Power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over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), с предоставляемой мощностью не менее 370 Ватт;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технологии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PoE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+ (IEEE 802.3at);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технологии IEEE 802.3az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Energy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Efficient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позволяющей динамически менять потребляемую мощность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PoE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PoE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+ портов коммутатора в зависимости от цикла работы подключенных устройств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Пропускная способность коммутатора - 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104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Gbps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Производительность коммутатора при обработке IPv4/IPv6 пакетов - 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77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Mpps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оперативной памяти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512 MB;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Объем постоянной памяти (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Flash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256 MB;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таблицы MAC адресов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16000 записей;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таблицы маршрутизации,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Unicast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IPv4 -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542 маршрутов;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таблицы маршрутизации,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Unicast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IPv6-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414 маршрутов;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талицы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маршрутизации,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Multicast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IPv4 -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1024 маршрутов/IGMP групп;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талицы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маршрутизации,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Multicast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IPv6 -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1024 маршрутов/IGMP групп;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записей в списках доступа на основе IP 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адресов (IP ACE)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600 записей;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записей в списках доступа на основе MAC адресов (MAC ACE)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 xml:space="preserve">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600 записей;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поддерживаемых подсетей (VLAN)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4094;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экземпляров протокола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Spanning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Tree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64;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Поддержка протоколов MSTP (IEEE 802.1s), RSTP (IEEE 802.1w), PVRST+;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протокола централизованной настройки подсетей (VLAN) в коммутируемой сети из множества коммутаторов с возможность настройки подсетей на одном коммутаторе с последующей автоматической настройкой данных подсетей на всех остальных коммутаторах в домене;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включения и выключения функции выучивания MAC адресов (MAC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Learning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) в каждой подсети;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фрейма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Jumbo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Frame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размером не менее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10240 Байт;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статической маршрутизации для IPv4/IPv6 трафика;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динамической маршрутизации RIP для IPv4/IPv6 трафика;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поддерживать технологию VRF-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Lite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Коммутатор должен быть оснащен как минимум одним портом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Mini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-USB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 для подключения управляющего терминала;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Коммутатор должен иметь возможность настройки из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коммандной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строки и управления с помощью интерфейса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Bluetooth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устанавливаемого в USB порт коммутатора без необходимости установки дополнительного 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/драйверов на коммутатор;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Коммутатор должен быть оснащен как минимум одним портом USB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с возможностью подключения съемных переносных носителей памяти для копирования 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них файлов конфигурации и программного обеспечения и возможностью подключения электронных USB-ключей;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поддерживать технологию автоматического отключения порта при поступлении BPDU пакетов от неавторизованного устройства;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Коммутатор должен поддерживать протокол второго уровня, позволяющий сетевому оборудованию оповещать локальную сеть о своем существовании и характеристиках, а также собирать оповещения, поступающие от соседнего оборудования, согласно стандарту IEEE 802.1ab. Коммутатор должен 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поддерживать расширение указанного протокола, обеспечивающее определение параметров голосовых устройств, применение сетевых политик, согласование и применение условий подачи электропитания через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, учет сетевых устройств и сбор информации об их  местоположении;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поддерживать технологию объединения двух интерфейсов второго уровня в отказоустойчивую пару с выделением в паре основного интерфейса, передающего и принимающего трафик, и резервного интерфейса, находящегося в состоянии ожидания и использующегося при отключении основного. Технология должна поддерживаться как на отдельных физических интерфейсах, так на группах физических интерфейсов, объединенных в один логический;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поддерживать технологию динамического объединения интерфейсов в отказоустойчивую пару (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EtherChannel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) с помощью как минимум двух протоколов динамического объединения интерфейсов;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обеспечивать возможность ведения таблицы соответствия присвоенных по протоколу DHCP IP-адресов MAC-адресу и порту подключенного устройства и поддерживать функцию защиты от подмены IP-адреса, разрешающую передачу трафика только в случае соответствия данных об IP- и MAC-адресах отправителя трафика записям в таблице присвоенных по протоколу DHCP IP-адресов или статически настроенным соответствиям IP- и MAC-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адресо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Коммутатор должен обеспечивать технологию ограничения проходящего через порт трафика только трафиком от/для 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предустановленных</w:t>
            </w:r>
            <w:proofErr w:type="gram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MAC-адресов. Должна поддерживаться автоматическая настройка порта для обеспечения указанной функциональности. 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должна поддерживаться как на портах, относящихся к одной виртуальной сети, так и на портах, передающих трафик нескольких виртуальных сетей;</w:t>
            </w:r>
            <w:proofErr w:type="gramEnd"/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поддерживать протокол IEEE 802.1x с динамическим назначением виртуальной сети, а также обеспечивать возможность назначения определенной (гостевой) виртуальной сети для пользователей, у которых не установлен клиент протокола IEEE 802.1x;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Коммутатор должен поддерживать маркировку и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перемаркировку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пакетов по полям 802.1p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CoS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DSCP на основе информации IP адреса отправителя и получателя, MAC адреса отправителя и получателя, номеров портов протоколов TCP или UDP. На входных портах должна обеспечиваться классификация трафика, проверка на 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соответствие заданному профилю и последующая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перемаркировка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сбрасывание пакетов, которые превышают значения профиля;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поддерживать приоритетную очередь, пакеты из которой обрабатываются раньше, чем пакеты из других очередей;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поддерживать аутентификацию по протоколам TACACS+ и RADIUS для административного доступа;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поддерживать настройку из интерпретатора командной строки;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Коммутатор должен поддерживать экспресс-установку с использованием веб-интерфейса, 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позволяющую</w:t>
            </w:r>
            <w:proofErr w:type="gram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настроить базовые параметры коммутатора без использования терминальных программ и знания интерфейса командной строки;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Коммутатор должен поддерживать возможность автоматической настройки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Plug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Play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PnP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PnP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агентом</w:t>
            </w:r>
            <w:proofErr w:type="gram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установленным в коммутаторе;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 должен иметь не менее 8 исходящих очередей на порт;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Наличие технологии автоматической настройки портов коммутатора в зависимости от типа подключенных к коммутатору устройств с точки зрения качества обслуживания (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QoS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), списков доступа, подсетей; наличие встроенных макросов в зависимости от типа устройств: IP камера, телефон и пр.;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функционала автоматической диагностики коммутатора, автоматических рекомендаций по уязвимостям 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коммутатора</w:t>
            </w:r>
            <w:proofErr w:type="gram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, возможность автоматического открытия сервисных запросов в службе технической поддержки производителя;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технологии трассировки маршрута фреймов и пакетов на основе идентификаторов MAC и IP адреса;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технологии экспорта статистики трафика с помощью технологии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sFlow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</w:t>
            </w:r>
            <w:proofErr w:type="spellStart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зеркалирования</w:t>
            </w:r>
            <w:proofErr w:type="spellEnd"/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трафика (SPAN)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время наработки на отказ 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kk-KZ" w:eastAsia="hi-IN" w:bidi="hi-IN"/>
              </w:rPr>
              <w:t>н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е менее 856 000 ч;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Глубина 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Не более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az-Latn-AZ" w:eastAsia="hi-IN" w:bidi="hi-IN"/>
              </w:rPr>
              <w:t xml:space="preserve">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350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az-Latn-AZ" w:eastAsia="hi-IN" w:bidi="hi-IN"/>
              </w:rPr>
              <w:t xml:space="preserve">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мм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en-US" w:eastAsia="hi-IN" w:bidi="hi-IN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Ширина не более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445 мм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en-US" w:eastAsia="hi-IN" w:bidi="hi-IN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Высота не более 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44 мм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en-US" w:eastAsia="hi-IN" w:bidi="hi-IN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59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Масса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336814">
              <w:rPr>
                <w:rFonts w:ascii="Times New Roman" w:eastAsia="Calibri" w:hAnsi="Times New Roman" w:cs="Times New Roman"/>
                <w:sz w:val="24"/>
                <w:szCs w:val="24"/>
              </w:rPr>
              <w:t>не б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eastAsia="hi-IN" w:bidi="hi-IN"/>
              </w:rPr>
              <w:t>олее 5.6 кг</w:t>
            </w:r>
            <w:r w:rsidRPr="00336814">
              <w:rPr>
                <w:rFonts w:ascii="Times New Roman" w:eastAsia="MS Mincho" w:hAnsi="Times New Roman" w:cs="Times New Roman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Технические характеристики сетевого оборудования – 4 шт согласно следующей комплектации: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Маршрутизатор должен быть не более 1RU при монтаже в стандартную 19” стойку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Маршрутизатор должен иметь не менее 1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комбо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порта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Ethernet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возможностью установки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SFP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модуля;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Порт типа RJ-45 и SFP должен поддерживать работу в режиме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auto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failover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возможность выбора основного и вторичного канала связи в зависимости от состояния оптического или медного интерфейса;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Маршрутизатор должен иметь встроенный коммутатор не менее 8 портов 10/100/1000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Ethernet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gram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троенный в маршрутизатор коммутатор должен иметь не менее 4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PoE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портов или не менее 2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PoE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портов;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Маршрутизатор должен быть оснащен не мене 8 ГБ оперативной памяти;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Маршрутизатор должен быть оснащен не мене 8 ГБ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flash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Маршрутизатор должен иметь </w:t>
            </w:r>
            <w:proofErr w:type="gram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модульную</w:t>
            </w:r>
            <w:proofErr w:type="gram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 и позволять перезапускать отдельные процессы не нарушая работы остальных;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Маршрутизатор должен иметь возможность замены операционной системы и поддерживать два режима работы: классический – маршрутизация и коммутация, автономный режим и режим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SD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WAN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управления централизованно с помощью внешнего контроллера. </w:t>
            </w:r>
            <w:proofErr w:type="gram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 зависит от версии операционной системы двух типов, классическая и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SD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WAN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операционная система;</w:t>
            </w:r>
            <w:proofErr w:type="gramEnd"/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режиме работы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SD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WAN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маршрутизатор должен поддерживать единый протокол управления с точки зрения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инжектирования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маршрутной информации и обмена ключами шифрования для организации безопасных каналов связи от контроллеров до маршрутизатора и между маршрутизаторами с целью управления функциями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SD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WAN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Маршрутизатор должен обеспечивать увеличение производительности без замены, изменения и добавления нового оборудования;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Маршрутизатор должен поддерживать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syslog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NetFlow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SNMP, RMON и IPFIX протоколы;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Маршрутизатор должен иметь функции распознавания приложений на L3-L7 уровнях. Должна быть возможность определять пользовательские приложения. Должен быть функционал мониторинга, сбора и экспорта (по протоколу согласно RFC-7011) информации о производительности распознаваемых приложений. На основе собранных данных и внешней системы управления должна быть возможность управления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приоритезацией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приложений;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распознавания приложений должна активироваться дополнительной лицензией, входящей в состав маршрутизатора;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Маршрутизатор должен поддерживать балансировку трафика по маршрутам неэквивалентной стоимости с помощью динамического протокола маршрутизации;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Маршрутизатор должен поддерживать технологию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оптимизированной маршрутизации граничного уровня, позволяющую обеспечить интеллектуальную маршрутизацию и балансировку распределения трафика между каналами передачи данных на внешней границе корпоративной сети на основе данных о производительности каналов (время реагирования, коэффициент потери пакетов, вариация задержки, доступность пути), политики балансировки трафика и минимизации затрат;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должна поддерживать технологию распознавания угроз в зашифрованном трафике без расшифровывания трафика;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Маршрутизатор должен поддерживать функции межсетевого экранирования, включая возможность группирования физических и/или логических интерфейсов в зоны безопасности для применения к ним групповых (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зоновых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политик безопасности;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межсетевого экрана должна активироваться дополнительной лицензией, входящей в состав маршрутизатора;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Маршрутизатор должен поддерживать работу функции BFD для протоколов IP маршрутизации;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Маршрутизатор должен иметь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не менее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одного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USB 3.0 поддерживающий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Flash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eToken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 менее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ного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micro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консольного доступа к маршрутизатору;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Маршрутизатор не должен потреблять более 250 Вт;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маршрутизатора не должен превышать 2.08 Кг;</w:t>
            </w:r>
          </w:p>
          <w:p w:rsidR="00336814" w:rsidRPr="00336814" w:rsidRDefault="00336814" w:rsidP="00336814">
            <w:pPr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маршрутизатора не должен превышать (В х Г х Ш) - 44 x 323 x 244 мм.</w:t>
            </w:r>
          </w:p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6814" w:rsidRPr="00336814" w:rsidRDefault="00336814" w:rsidP="00336814">
            <w:pPr>
              <w:keepNext/>
              <w:keepLines/>
              <w:tabs>
                <w:tab w:val="left" w:pos="609"/>
              </w:tabs>
              <w:spacing w:after="0" w:line="259" w:lineRule="auto"/>
              <w:ind w:left="10" w:hanging="1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Требования к гарантийной поддержке поставляемого оборудования </w:t>
            </w: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ind w:left="10" w:hanging="1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поставляемое Оборудование должна быть предусмотрена гарантия на срок не менее 12 месяцев в соответствии с условиями настоящих требований. </w:t>
            </w: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pacing w:val="2"/>
                <w:w w:val="105"/>
                <w:sz w:val="24"/>
                <w:lang w:eastAsia="ru-RU"/>
              </w:rPr>
              <w:t xml:space="preserve">Поставщик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3"/>
                <w:w w:val="105"/>
                <w:sz w:val="24"/>
                <w:lang w:eastAsia="ru-RU"/>
              </w:rPr>
              <w:t xml:space="preserve">принимает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lang w:eastAsia="ru-RU"/>
              </w:rPr>
              <w:t xml:space="preserve">меры по устранению несоответствий требованиям технической спецификации, без каких-либо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7"/>
                <w:w w:val="105"/>
                <w:sz w:val="24"/>
                <w:lang w:eastAsia="ru-RU"/>
              </w:rPr>
              <w:t xml:space="preserve">дополнительных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6"/>
                <w:w w:val="105"/>
                <w:sz w:val="24"/>
                <w:lang w:eastAsia="ru-RU"/>
              </w:rPr>
              <w:t xml:space="preserve">затрат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4"/>
                <w:w w:val="105"/>
                <w:sz w:val="24"/>
                <w:lang w:eastAsia="ru-RU"/>
              </w:rPr>
              <w:t xml:space="preserve">со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6"/>
                <w:w w:val="105"/>
                <w:sz w:val="24"/>
                <w:lang w:eastAsia="ru-RU"/>
              </w:rPr>
              <w:t xml:space="preserve">стороны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7"/>
                <w:w w:val="105"/>
                <w:sz w:val="24"/>
                <w:lang w:eastAsia="ru-RU"/>
              </w:rPr>
              <w:t xml:space="preserve">Заказчика,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lang w:eastAsia="ru-RU"/>
              </w:rPr>
              <w:t xml:space="preserve">в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6"/>
                <w:w w:val="105"/>
                <w:sz w:val="24"/>
                <w:lang w:eastAsia="ru-RU"/>
              </w:rPr>
              <w:t xml:space="preserve">течение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lang w:val="kk-KZ" w:eastAsia="ru-RU"/>
              </w:rPr>
              <w:t>7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lang w:eastAsia="ru-RU"/>
              </w:rPr>
              <w:t xml:space="preserve">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7"/>
                <w:w w:val="105"/>
                <w:sz w:val="24"/>
                <w:lang w:eastAsia="ru-RU"/>
              </w:rPr>
              <w:t xml:space="preserve">календарных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5"/>
                <w:w w:val="105"/>
                <w:sz w:val="24"/>
                <w:lang w:eastAsia="ru-RU"/>
              </w:rPr>
              <w:t xml:space="preserve">дней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lang w:eastAsia="ru-RU"/>
              </w:rPr>
              <w:t xml:space="preserve">с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pacing w:val="8"/>
                <w:w w:val="105"/>
                <w:sz w:val="24"/>
                <w:lang w:eastAsia="ru-RU"/>
              </w:rPr>
              <w:t xml:space="preserve">момента 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lang w:eastAsia="ru-RU"/>
              </w:rPr>
              <w:t>проверки.</w:t>
            </w: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должен обеспечить авторизованную гарантийную поддержку своими силами и/или силами авторизованных сервисных центров производителя. </w:t>
            </w: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ind w:left="10" w:hanging="1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гарантийного срока должен осуществляться ремонт и замена вышедших из строя аппаратных средств и должна осуществляться техническая поддержка работоспособности Оборудования. </w:t>
            </w: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ind w:left="10" w:hanging="1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Поставляемое Оборудование должно обладать включенной гарантией на срок не менее 12 месяцев  со следующим SLA: </w:t>
            </w:r>
          </w:p>
          <w:p w:rsidR="00336814" w:rsidRPr="00336814" w:rsidRDefault="00336814" w:rsidP="00336814">
            <w:pPr>
              <w:numPr>
                <w:ilvl w:val="2"/>
                <w:numId w:val="2"/>
              </w:numPr>
              <w:spacing w:after="0" w:line="268" w:lineRule="auto"/>
              <w:ind w:left="10"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 заявок службой поддержки производителя по всем допустимым каналам (телефон, факс, e-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русском языке в режиме 8х5; </w:t>
            </w:r>
          </w:p>
          <w:p w:rsidR="00336814" w:rsidRPr="00336814" w:rsidRDefault="00336814" w:rsidP="00336814">
            <w:pPr>
              <w:numPr>
                <w:ilvl w:val="2"/>
                <w:numId w:val="2"/>
              </w:numPr>
              <w:spacing w:after="0" w:line="268" w:lineRule="auto"/>
              <w:ind w:left="10"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амена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вышедшей из строя комплектующей в течении пяти рабочих дней</w:t>
            </w: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(производитель) на все время гарантии должен предоставить доступ к специализированным ресурсам Производителя системы (порталам в Интернет, документации, базам знаний) для получения информации о системе, самостоятельного обучения и поиска решения возможных проблем. </w:t>
            </w: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(производитель) на все время гарантии должен предоставить доступ к специализированным ресурсам Производителя системы, содержащим обновления системного программного обеспечения. </w:t>
            </w:r>
          </w:p>
          <w:p w:rsidR="00336814" w:rsidRPr="00336814" w:rsidRDefault="00336814" w:rsidP="00336814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(производитель) на все время гарантии должен предоставить возможность консультационной поддержки по вопросам, связанным с установкой ПО Производителя системы. </w:t>
            </w:r>
          </w:p>
          <w:p w:rsidR="00336814" w:rsidRPr="00336814" w:rsidRDefault="00336814" w:rsidP="0033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элементы, используемые поставщиком (производителем) для замены в целях реализации гарантийного обслуживания, должны быть сертифицированы производителем системы и иметь не худшие функциональные характеристики в сравнении с заменяемыми элементами.</w:t>
            </w: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keepNext/>
              <w:keepLines/>
              <w:spacing w:after="116" w:line="240" w:lineRule="auto"/>
              <w:ind w:left="1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инсталляционные работы по первоначальной конфигурации оборудования, обновлению ПО, в </w:t>
            </w:r>
            <w:proofErr w:type="spellStart"/>
            <w:r w:rsidRPr="0033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3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обновлению микрокодов должны быть проведены на площадке размещения оборудования специалистами Поставщика. Инсталляционные работы должны входить в состав спецификации поставляемого Оборудования. </w:t>
            </w:r>
          </w:p>
        </w:tc>
      </w:tr>
      <w:tr w:rsidR="00336814" w:rsidRPr="00336814" w:rsidTr="00AC5A9D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33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14" w:rsidRPr="00336814" w:rsidRDefault="00336814" w:rsidP="0033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6814" w:rsidRPr="00336814" w:rsidRDefault="00336814" w:rsidP="00336814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сведения подтягиваются из плана государственных закупок (отображаются автоматически).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336814" w:rsidRPr="00336814" w:rsidRDefault="00336814" w:rsidP="003368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Установление требований технической спецификации в иных документах не допускается.</w:t>
      </w:r>
    </w:p>
    <w:p w:rsidR="00336814" w:rsidRPr="00336814" w:rsidRDefault="00336814" w:rsidP="00336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814" w:rsidRPr="00336814" w:rsidRDefault="00336814" w:rsidP="003368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06F91" w:rsidRDefault="00006F91"/>
    <w:sectPr w:rsidR="0000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2421"/>
    <w:multiLevelType w:val="multilevel"/>
    <w:tmpl w:val="4E28C8C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440"/>
      </w:pPr>
      <w:rPr>
        <w:b w:val="0"/>
        <w:bCs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1F2493"/>
    <w:multiLevelType w:val="hybridMultilevel"/>
    <w:tmpl w:val="9ED61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66D78"/>
    <w:multiLevelType w:val="multilevel"/>
    <w:tmpl w:val="38A2219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E204F1"/>
    <w:multiLevelType w:val="multilevel"/>
    <w:tmpl w:val="6E74E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14"/>
    <w:rsid w:val="00006F91"/>
    <w:rsid w:val="0033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36814"/>
    <w:pPr>
      <w:keepNext/>
      <w:keepLines/>
      <w:numPr>
        <w:numId w:val="1"/>
      </w:numPr>
      <w:spacing w:after="11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36814"/>
    <w:pPr>
      <w:keepNext/>
      <w:keepLines/>
      <w:numPr>
        <w:ilvl w:val="1"/>
        <w:numId w:val="1"/>
      </w:numPr>
      <w:spacing w:after="116" w:line="259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81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6814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36814"/>
    <w:pPr>
      <w:keepNext/>
      <w:keepLines/>
      <w:numPr>
        <w:numId w:val="1"/>
      </w:numPr>
      <w:spacing w:after="11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36814"/>
    <w:pPr>
      <w:keepNext/>
      <w:keepLines/>
      <w:numPr>
        <w:ilvl w:val="1"/>
        <w:numId w:val="1"/>
      </w:numPr>
      <w:spacing w:after="116" w:line="259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81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6814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Айсұлу Мұсан</dc:creator>
  <cp:lastModifiedBy>Айсұлу Мұсан</cp:lastModifiedBy>
  <cp:revision>1</cp:revision>
  <dcterms:created xsi:type="dcterms:W3CDTF">2022-10-18T10:20:00Z</dcterms:created>
  <dcterms:modified xsi:type="dcterms:W3CDTF">2022-10-18T10:22:00Z</dcterms:modified>
</cp:coreProperties>
</file>