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1C" w:rsidRDefault="000C0D1C" w:rsidP="000C0D1C">
      <w:pPr>
        <w:pStyle w:val="CM1"/>
        <w:jc w:val="center"/>
        <w:rPr>
          <w:rFonts w:ascii="Times New Roman" w:hAnsi="Times New Roman" w:cs="Times New Roman"/>
          <w:b/>
          <w:bCs/>
          <w:color w:val="000000"/>
          <w:sz w:val="23"/>
          <w:szCs w:val="23"/>
        </w:rPr>
      </w:pPr>
      <w:bookmarkStart w:id="0" w:name="_GoBack"/>
      <w:bookmarkEnd w:id="0"/>
      <w:r w:rsidRPr="000345CA">
        <w:rPr>
          <w:rFonts w:ascii="Times New Roman" w:hAnsi="Times New Roman" w:cs="Times New Roman"/>
          <w:b/>
          <w:bCs/>
          <w:color w:val="000000"/>
          <w:sz w:val="23"/>
          <w:szCs w:val="23"/>
        </w:rPr>
        <w:t xml:space="preserve">Техническая спецификация </w:t>
      </w:r>
      <w:r>
        <w:rPr>
          <w:rFonts w:ascii="Times New Roman" w:hAnsi="Times New Roman" w:cs="Times New Roman"/>
          <w:b/>
          <w:bCs/>
          <w:color w:val="000000"/>
          <w:sz w:val="23"/>
          <w:szCs w:val="23"/>
        </w:rPr>
        <w:t>к договору</w:t>
      </w:r>
    </w:p>
    <w:p w:rsidR="000030D3" w:rsidRDefault="000030D3" w:rsidP="000030D3">
      <w:pPr>
        <w:jc w:val="center"/>
        <w:rPr>
          <w:b/>
          <w:bCs/>
          <w:sz w:val="23"/>
          <w:szCs w:val="23"/>
        </w:rPr>
      </w:pPr>
      <w:r>
        <w:rPr>
          <w:b/>
          <w:bCs/>
          <w:sz w:val="23"/>
          <w:szCs w:val="23"/>
        </w:rPr>
        <w:t xml:space="preserve"> об </w:t>
      </w:r>
      <w:r w:rsidRPr="000345CA">
        <w:rPr>
          <w:b/>
          <w:bCs/>
          <w:sz w:val="23"/>
          <w:szCs w:val="23"/>
        </w:rPr>
        <w:t>оказании услуг по брокерск</w:t>
      </w:r>
      <w:r>
        <w:rPr>
          <w:b/>
          <w:bCs/>
          <w:sz w:val="23"/>
          <w:szCs w:val="23"/>
        </w:rPr>
        <w:t>им операциям с ценными бумагами</w:t>
      </w:r>
    </w:p>
    <w:p w:rsidR="009C4223" w:rsidRDefault="009C4223" w:rsidP="000030D3">
      <w:pPr>
        <w:jc w:val="center"/>
      </w:pPr>
    </w:p>
    <w:p w:rsidR="009C4223" w:rsidRDefault="008D5445" w:rsidP="009C4223">
      <w:pPr>
        <w:ind w:firstLine="284"/>
        <w:rPr>
          <w:b/>
          <w:bCs/>
          <w:sz w:val="23"/>
          <w:szCs w:val="23"/>
        </w:rPr>
      </w:pPr>
      <w:r>
        <w:rPr>
          <w:b/>
          <w:bCs/>
          <w:sz w:val="23"/>
          <w:szCs w:val="23"/>
          <w:lang w:val="kk-KZ"/>
        </w:rPr>
        <w:t>Услуга</w:t>
      </w:r>
      <w:r>
        <w:rPr>
          <w:b/>
          <w:bCs/>
          <w:sz w:val="23"/>
          <w:szCs w:val="23"/>
        </w:rPr>
        <w:t>:</w:t>
      </w:r>
      <w:r>
        <w:rPr>
          <w:b/>
          <w:bCs/>
          <w:sz w:val="23"/>
          <w:szCs w:val="23"/>
          <w:lang w:val="kk-KZ"/>
        </w:rPr>
        <w:t xml:space="preserve"> </w:t>
      </w:r>
      <w:r w:rsidRPr="000345CA">
        <w:rPr>
          <w:b/>
          <w:bCs/>
          <w:sz w:val="23"/>
          <w:szCs w:val="23"/>
        </w:rPr>
        <w:t>брокерск</w:t>
      </w:r>
      <w:r>
        <w:rPr>
          <w:b/>
          <w:bCs/>
          <w:sz w:val="23"/>
          <w:szCs w:val="23"/>
          <w:lang w:val="kk-KZ"/>
        </w:rPr>
        <w:t xml:space="preserve">ое обслуживание по </w:t>
      </w:r>
      <w:r>
        <w:rPr>
          <w:b/>
          <w:bCs/>
          <w:sz w:val="23"/>
          <w:szCs w:val="23"/>
        </w:rPr>
        <w:t>операциям с ценными бумагами</w:t>
      </w:r>
      <w:r w:rsidR="00735D58">
        <w:rPr>
          <w:b/>
          <w:bCs/>
          <w:sz w:val="23"/>
          <w:szCs w:val="23"/>
        </w:rPr>
        <w:t xml:space="preserve"> с номинальным держанием</w:t>
      </w:r>
    </w:p>
    <w:p w:rsidR="00263AF3" w:rsidRDefault="00263AF3" w:rsidP="009C4223">
      <w:pPr>
        <w:ind w:firstLine="284"/>
        <w:rPr>
          <w:b/>
          <w:bCs/>
          <w:sz w:val="23"/>
          <w:szCs w:val="23"/>
        </w:rPr>
      </w:pPr>
    </w:p>
    <w:p w:rsidR="00263AF3" w:rsidRPr="003016E0" w:rsidRDefault="00263AF3" w:rsidP="00263AF3">
      <w:pPr>
        <w:spacing w:after="4"/>
        <w:ind w:right="50" w:firstLine="709"/>
        <w:rPr>
          <w:b/>
          <w:color w:val="000000"/>
        </w:rPr>
      </w:pPr>
      <w:r w:rsidRPr="003016E0">
        <w:rPr>
          <w:b/>
          <w:color w:val="000000"/>
        </w:rPr>
        <w:t>Брокерское обслуживание</w:t>
      </w:r>
    </w:p>
    <w:p w:rsidR="00263AF3" w:rsidRDefault="00263AF3" w:rsidP="00263AF3">
      <w:pPr>
        <w:spacing w:after="4" w:line="252" w:lineRule="auto"/>
        <w:ind w:right="50" w:firstLine="709"/>
        <w:jc w:val="both"/>
        <w:rPr>
          <w:color w:val="000000"/>
        </w:rPr>
      </w:pPr>
      <w:r w:rsidRPr="003016E0">
        <w:rPr>
          <w:color w:val="000000"/>
        </w:rPr>
        <w:t xml:space="preserve">Готовность предоставлять брокерские услуги с правом ведения счетов Клиента в качестве номинального держателя на рынке ценных бумаг. Под брокерскими </w:t>
      </w:r>
      <w:r w:rsidRPr="003016E0">
        <w:rPr>
          <w:noProof/>
          <w:color w:val="000000"/>
        </w:rPr>
        <w:drawing>
          <wp:inline distT="0" distB="0" distL="0" distR="0" wp14:anchorId="4042A17C" wp14:editId="5739EE35">
            <wp:extent cx="8890" cy="88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3016E0">
        <w:rPr>
          <w:color w:val="000000"/>
        </w:rPr>
        <w:t xml:space="preserve">услугами понимаются услуги по совершению Брокером от своего имени (в случае совершения сделок на организованном рынке ценных бумаг), по поручению и за счет Клиента операций и сделок на рынке ценных бумаг </w:t>
      </w:r>
      <w:r w:rsidR="00735D58" w:rsidRPr="003016E0">
        <w:rPr>
          <w:color w:val="000000"/>
        </w:rPr>
        <w:t>на</w:t>
      </w:r>
      <w:r w:rsidR="00735D58">
        <w:rPr>
          <w:color w:val="000000"/>
        </w:rPr>
        <w:t xml:space="preserve"> </w:t>
      </w:r>
      <w:r w:rsidR="00735D58" w:rsidRPr="003016E0">
        <w:rPr>
          <w:color w:val="000000"/>
        </w:rPr>
        <w:t>основании,</w:t>
      </w:r>
      <w:r w:rsidRPr="003016E0">
        <w:rPr>
          <w:color w:val="000000"/>
        </w:rPr>
        <w:t xml:space="preserve"> поданных Клиентом и принятых к исполнению Брокером клиентских заказов.</w:t>
      </w:r>
    </w:p>
    <w:p w:rsidR="00735D58" w:rsidRPr="003016E0" w:rsidRDefault="00735D58" w:rsidP="00735D58">
      <w:pPr>
        <w:ind w:right="50" w:firstLine="709"/>
        <w:jc w:val="both"/>
        <w:rPr>
          <w:b/>
        </w:rPr>
      </w:pPr>
      <w:r w:rsidRPr="003016E0">
        <w:rPr>
          <w:b/>
        </w:rPr>
        <w:t>Номинальное держание</w:t>
      </w:r>
    </w:p>
    <w:p w:rsidR="00735D58" w:rsidRPr="0095106A" w:rsidRDefault="00735D58" w:rsidP="00735D58">
      <w:pPr>
        <w:spacing w:after="50"/>
        <w:ind w:right="50" w:firstLine="709"/>
        <w:jc w:val="both"/>
      </w:pPr>
      <w:r w:rsidRPr="0095106A">
        <w:t>Под ведением счета Клиента в качестве номинального держателя понимаются действия брокера, совершаемые по лицевому счету Клиента на основании поданных Клиентом и принятых к исполнению брокером клиентских приказов и письменных заявлений, а также в силу поручений третьих лиц в соответствии с законодательством Республики Казахстан.</w:t>
      </w:r>
    </w:p>
    <w:p w:rsidR="00735D58" w:rsidRPr="0095106A" w:rsidRDefault="00735D58" w:rsidP="00735D58">
      <w:pPr>
        <w:spacing w:after="76"/>
        <w:ind w:right="50" w:firstLine="709"/>
        <w:jc w:val="both"/>
      </w:pPr>
      <w:r w:rsidRPr="0095106A">
        <w:t>В качестве номинального держателя готовность предоставлять услуги по ведению лицевого счета Клиента и проведению операций по нему:</w:t>
      </w:r>
    </w:p>
    <w:p w:rsidR="00735D58" w:rsidRDefault="00735D58" w:rsidP="00735D58">
      <w:pPr>
        <w:pStyle w:val="a4"/>
        <w:numPr>
          <w:ilvl w:val="0"/>
          <w:numId w:val="8"/>
        </w:numPr>
        <w:tabs>
          <w:tab w:val="left" w:pos="993"/>
        </w:tabs>
        <w:spacing w:after="25" w:line="252" w:lineRule="auto"/>
        <w:ind w:left="0" w:right="50" w:firstLine="567"/>
        <w:jc w:val="both"/>
      </w:pPr>
      <w:r w:rsidRPr="0095106A">
        <w:t>операции по лицевому счету: открытие лицевого счета, изменение сведений о держателе ценных бумаг, аннулирование финансовых инструментов, списание/зачисление ценных бумаг со/на счетов/счета держателей ценных бумаг, зачисление получаемого от эмитента дохода по финансовым инструментам, внесение записей об изменении количества финансовых инструментов на лицевом счете Клиента, обременение финансовых инструментов и снятие обременения, блокирование финансовых инструментов и снятие блокирования, внесение записей о доверительном управляющем и удаление записи о доверительном управл</w:t>
      </w:r>
      <w:r>
        <w:t xml:space="preserve">яющем, закрытие лицевого счета; </w:t>
      </w:r>
    </w:p>
    <w:p w:rsidR="00735D58" w:rsidRDefault="00735D58" w:rsidP="00735D58">
      <w:pPr>
        <w:pStyle w:val="a4"/>
        <w:numPr>
          <w:ilvl w:val="0"/>
          <w:numId w:val="8"/>
        </w:numPr>
        <w:tabs>
          <w:tab w:val="left" w:pos="993"/>
        </w:tabs>
        <w:spacing w:after="25" w:line="252" w:lineRule="auto"/>
        <w:ind w:left="0" w:right="50" w:firstLine="567"/>
        <w:jc w:val="both"/>
      </w:pPr>
      <w:r>
        <w:t>и</w:t>
      </w:r>
      <w:r w:rsidRPr="0095106A">
        <w:t>нформационные операции: выдача выписки с лицевого счета, выдача отчета о проведенных операциях, подготовка и выдача других отчетов о состоянии лицевого счета, в том числе в целях подтверждения прав Клиента по ценным бумагам, переданным в номинальное держание Брокера,</w:t>
      </w:r>
    </w:p>
    <w:p w:rsidR="00735D58" w:rsidRDefault="00735D58" w:rsidP="00735D58">
      <w:pPr>
        <w:pStyle w:val="a4"/>
        <w:numPr>
          <w:ilvl w:val="0"/>
          <w:numId w:val="8"/>
        </w:numPr>
        <w:tabs>
          <w:tab w:val="left" w:pos="993"/>
        </w:tabs>
        <w:spacing w:after="25" w:line="252" w:lineRule="auto"/>
        <w:ind w:left="0" w:right="50" w:firstLine="567"/>
        <w:jc w:val="both"/>
      </w:pPr>
      <w:r w:rsidRPr="0095106A">
        <w:t xml:space="preserve">хранение информации, содержащейся в системе учета номинального держания по лицевому счету Клиента; </w:t>
      </w:r>
    </w:p>
    <w:p w:rsidR="00735D58" w:rsidRDefault="00735D58" w:rsidP="00735D58">
      <w:pPr>
        <w:pStyle w:val="a4"/>
        <w:numPr>
          <w:ilvl w:val="0"/>
          <w:numId w:val="8"/>
        </w:numPr>
        <w:tabs>
          <w:tab w:val="left" w:pos="993"/>
        </w:tabs>
        <w:spacing w:after="25" w:line="252" w:lineRule="auto"/>
        <w:ind w:left="0" w:right="50" w:firstLine="567"/>
        <w:jc w:val="both"/>
      </w:pPr>
      <w:r w:rsidRPr="003016E0">
        <w:t>внесение изменений по лицевому счету Клиента в порядке и сроки, которые установлены законодательством Республики Казахстан;</w:t>
      </w:r>
    </w:p>
    <w:p w:rsidR="00735D58" w:rsidRDefault="00735D58" w:rsidP="00735D58">
      <w:pPr>
        <w:pStyle w:val="a4"/>
        <w:numPr>
          <w:ilvl w:val="0"/>
          <w:numId w:val="8"/>
        </w:numPr>
        <w:tabs>
          <w:tab w:val="left" w:pos="993"/>
        </w:tabs>
        <w:spacing w:after="25" w:line="252" w:lineRule="auto"/>
        <w:ind w:left="0" w:right="50" w:firstLine="567"/>
        <w:jc w:val="both"/>
      </w:pPr>
      <w:r w:rsidRPr="003016E0">
        <w:t>представление по требованию регистратора, центрального депозитария и эмитента сведений о Клиенте, ценные бумаги которого находятся в его номинальном держании;</w:t>
      </w:r>
    </w:p>
    <w:p w:rsidR="00735D58" w:rsidRDefault="00735D58" w:rsidP="00735D58">
      <w:pPr>
        <w:pStyle w:val="a4"/>
        <w:numPr>
          <w:ilvl w:val="0"/>
          <w:numId w:val="8"/>
        </w:numPr>
        <w:tabs>
          <w:tab w:val="left" w:pos="993"/>
        </w:tabs>
        <w:spacing w:after="25" w:line="252" w:lineRule="auto"/>
        <w:ind w:left="0" w:right="50" w:firstLine="567"/>
        <w:jc w:val="both"/>
      </w:pPr>
      <w:r w:rsidRPr="003016E0">
        <w:t>получение инвестиционного дохода и зачисление его на лицевой счет Клиен</w:t>
      </w:r>
      <w:r>
        <w:t>та;</w:t>
      </w:r>
    </w:p>
    <w:p w:rsidR="00735D58" w:rsidRDefault="00735D58" w:rsidP="00735D58">
      <w:pPr>
        <w:pStyle w:val="a4"/>
        <w:numPr>
          <w:ilvl w:val="0"/>
          <w:numId w:val="8"/>
        </w:numPr>
        <w:tabs>
          <w:tab w:val="left" w:pos="993"/>
        </w:tabs>
        <w:spacing w:after="25" w:line="252" w:lineRule="auto"/>
        <w:ind w:left="0" w:right="50" w:firstLine="567"/>
        <w:jc w:val="both"/>
      </w:pPr>
      <w:r w:rsidRPr="003016E0">
        <w:t>уведомление Клиента о получении доходов по принадлежащим Клиенту финансовым инструментам.</w:t>
      </w:r>
    </w:p>
    <w:p w:rsidR="00735D58" w:rsidRDefault="00735D58" w:rsidP="00735D58">
      <w:pPr>
        <w:spacing w:after="277"/>
        <w:ind w:left="284" w:right="50"/>
        <w:rPr>
          <w:b/>
          <w:color w:val="000000"/>
          <w:u w:val="single" w:color="000000"/>
        </w:rPr>
      </w:pPr>
      <w:r w:rsidRPr="00735D58">
        <w:rPr>
          <w:b/>
          <w:color w:val="000000"/>
          <w:u w:val="single" w:color="000000"/>
        </w:rPr>
        <w:t>Требования к поставщику брокерских услу</w:t>
      </w:r>
      <w:r>
        <w:rPr>
          <w:b/>
          <w:color w:val="000000"/>
          <w:u w:val="single" w:color="000000"/>
        </w:rPr>
        <w:t>г</w:t>
      </w:r>
    </w:p>
    <w:p w:rsidR="00735D58" w:rsidRDefault="00735D58" w:rsidP="003C6DE1">
      <w:pPr>
        <w:ind w:right="50" w:firstLine="567"/>
        <w:jc w:val="both"/>
      </w:pPr>
      <w:r>
        <w:t>Услуга оказывается только по заявке Заказчика.</w:t>
      </w:r>
    </w:p>
    <w:p w:rsidR="00735D58" w:rsidRDefault="00735D58" w:rsidP="003C6DE1">
      <w:pPr>
        <w:ind w:right="50" w:firstLine="567"/>
        <w:jc w:val="both"/>
        <w:rPr>
          <w:b/>
          <w:color w:val="000000"/>
          <w:u w:val="single" w:color="000000"/>
        </w:rPr>
      </w:pPr>
      <w:r>
        <w:t xml:space="preserve">Размещение денежных средств по согласованию с Заказчиком в ценные бумаги, относящиеся к категории: </w:t>
      </w:r>
    </w:p>
    <w:p w:rsidR="00735D58" w:rsidRDefault="00735D58" w:rsidP="003C6DE1">
      <w:pPr>
        <w:ind w:right="50" w:firstLine="567"/>
        <w:jc w:val="both"/>
      </w:pPr>
      <w:r>
        <w:t xml:space="preserve">а)   </w:t>
      </w:r>
      <w:r w:rsidRPr="000F04C5">
        <w:t>государственные ценные бумаги Республики Казахстан</w:t>
      </w:r>
      <w:r>
        <w:t>;</w:t>
      </w:r>
    </w:p>
    <w:p w:rsidR="00735D58" w:rsidRDefault="00735D58" w:rsidP="003C6DE1">
      <w:pPr>
        <w:ind w:right="50" w:firstLine="567"/>
        <w:jc w:val="both"/>
      </w:pPr>
      <w:r>
        <w:lastRenderedPageBreak/>
        <w:t xml:space="preserve">б) </w:t>
      </w:r>
      <w:r w:rsidRPr="000F04C5">
        <w:t>ценные бумаги, выпущенные следующими международными финансовыми организациями</w:t>
      </w:r>
      <w:r>
        <w:t xml:space="preserve"> (</w:t>
      </w:r>
      <w:r w:rsidRPr="000F04C5">
        <w:t>Международным Банком Реконструкции и Развития</w:t>
      </w:r>
      <w:r>
        <w:t>,</w:t>
      </w:r>
      <w:r w:rsidRPr="000F04C5">
        <w:t xml:space="preserve"> Европейским Банком Реконструкции и Развития</w:t>
      </w:r>
      <w:r>
        <w:t>,</w:t>
      </w:r>
      <w:r w:rsidRPr="000F04C5">
        <w:t xml:space="preserve"> Азиатским Банком Развития</w:t>
      </w:r>
      <w:r>
        <w:t xml:space="preserve">); </w:t>
      </w:r>
    </w:p>
    <w:p w:rsidR="00735D58" w:rsidRDefault="00735D58" w:rsidP="003C6DE1">
      <w:pPr>
        <w:ind w:right="50" w:firstLine="567"/>
        <w:jc w:val="both"/>
      </w:pPr>
      <w:r>
        <w:t xml:space="preserve">в) </w:t>
      </w:r>
      <w:r w:rsidRPr="000F04C5">
        <w:t>государственные ценные бумаги стран, имеющих кредитный рейтинг не ниже ВВВ по шкале Standard &amp; Poor's или Ваа3 по шкале Moody's Investors Service (далее – Moody's), или не ниже ВВВ по шкале Fitch Ratings</w:t>
      </w:r>
      <w:r>
        <w:t xml:space="preserve">; </w:t>
      </w:r>
    </w:p>
    <w:p w:rsidR="00735D58" w:rsidRPr="00506DE7" w:rsidRDefault="00735D58" w:rsidP="003C6DE1">
      <w:pPr>
        <w:ind w:right="50" w:firstLine="567"/>
        <w:jc w:val="both"/>
      </w:pPr>
      <w:r>
        <w:t xml:space="preserve">г) </w:t>
      </w:r>
      <w:r w:rsidRPr="000F04C5">
        <w:t xml:space="preserve">негосударственные ценные бумаги казахстанских эмитентов, включенные в список наивысшей категории фондовой биржи, осуществляющей свою деятельность на </w:t>
      </w:r>
      <w:r w:rsidRPr="00506DE7">
        <w:t>территории Республики Казахстан</w:t>
      </w:r>
      <w:r w:rsidR="00CA767B" w:rsidRPr="00506DE7">
        <w:t>;</w:t>
      </w:r>
    </w:p>
    <w:p w:rsidR="00CA767B" w:rsidRPr="00506DE7" w:rsidRDefault="00C20793" w:rsidP="003C6DE1">
      <w:pPr>
        <w:ind w:right="50" w:firstLine="567"/>
        <w:jc w:val="both"/>
      </w:pPr>
      <w:r w:rsidRPr="00506DE7">
        <w:t>д) размещение денежных средств в сделки автоматического репо с корзиной ГЦБ на Казахстанской фондовой бирже.</w:t>
      </w:r>
    </w:p>
    <w:p w:rsidR="00735D58" w:rsidRDefault="00735D58" w:rsidP="003C6DE1">
      <w:pPr>
        <w:ind w:right="50" w:firstLine="567"/>
        <w:jc w:val="both"/>
      </w:pPr>
      <w:r w:rsidRPr="00506DE7">
        <w:t>Сроки размещения – со дня перечисления</w:t>
      </w:r>
      <w:r w:rsidRPr="00DD5305">
        <w:t xml:space="preserve"> денежных средств Заказчика на брокерский счет по 31 декабря 202</w:t>
      </w:r>
      <w:r w:rsidRPr="00DD5305">
        <w:rPr>
          <w:lang w:val="kk-KZ"/>
        </w:rPr>
        <w:t>4</w:t>
      </w:r>
      <w:r w:rsidRPr="00DD5305">
        <w:t xml:space="preserve"> года включительно. При этом Заказчик оставляет за собой право прекратить осуществлять </w:t>
      </w:r>
      <w:r>
        <w:t>размещение денежных средств</w:t>
      </w:r>
      <w:r w:rsidRPr="00DD5305">
        <w:t xml:space="preserve"> раньше указанного срока и расторгнуть договор по взаимному согласию сторон в случае их</w:t>
      </w:r>
      <w:r w:rsidRPr="00DD5305">
        <w:rPr>
          <w:sz w:val="28"/>
          <w:szCs w:val="28"/>
        </w:rPr>
        <w:t xml:space="preserve"> </w:t>
      </w:r>
      <w:r w:rsidRPr="00DD5305">
        <w:t>нецелесообразности</w:t>
      </w:r>
      <w:r>
        <w:t>.</w:t>
      </w:r>
    </w:p>
    <w:p w:rsidR="00735D58" w:rsidRDefault="00735D58" w:rsidP="00735D58">
      <w:pPr>
        <w:ind w:left="284" w:right="50" w:firstLine="283"/>
        <w:rPr>
          <w:b/>
          <w:color w:val="000000"/>
          <w:u w:val="single" w:color="000000"/>
        </w:rPr>
      </w:pPr>
    </w:p>
    <w:p w:rsidR="00735D58" w:rsidRDefault="00735D58" w:rsidP="00735D58">
      <w:pPr>
        <w:ind w:right="5" w:firstLine="709"/>
        <w:jc w:val="both"/>
        <w:rPr>
          <w:b/>
        </w:rPr>
      </w:pPr>
      <w:r w:rsidRPr="00735D58">
        <w:rPr>
          <w:b/>
        </w:rPr>
        <w:t>Комиссии за брокерские услуги</w:t>
      </w:r>
    </w:p>
    <w:p w:rsidR="00735D58" w:rsidRPr="00735D58" w:rsidRDefault="00735D58" w:rsidP="00735D58">
      <w:pPr>
        <w:ind w:right="5" w:firstLine="709"/>
        <w:jc w:val="both"/>
        <w:rPr>
          <w:b/>
        </w:rPr>
      </w:pPr>
    </w:p>
    <w:p w:rsidR="00735D58" w:rsidRDefault="00735D58" w:rsidP="00735D58">
      <w:pPr>
        <w:pStyle w:val="a4"/>
        <w:numPr>
          <w:ilvl w:val="0"/>
          <w:numId w:val="7"/>
        </w:numPr>
        <w:jc w:val="both"/>
      </w:pPr>
      <w:r>
        <w:t>выписка с лицевого счета Заказчика (ежемесячно) – бесплатно;</w:t>
      </w:r>
    </w:p>
    <w:p w:rsidR="00735D58" w:rsidRDefault="00735D58" w:rsidP="00735D58">
      <w:pPr>
        <w:pStyle w:val="a4"/>
        <w:numPr>
          <w:ilvl w:val="0"/>
          <w:numId w:val="7"/>
        </w:numPr>
        <w:jc w:val="both"/>
      </w:pPr>
      <w:r>
        <w:t xml:space="preserve">предоставление отчета по движению </w:t>
      </w:r>
      <w:r w:rsidR="00C20793">
        <w:t>а</w:t>
      </w:r>
      <w:r>
        <w:t>ктивов Заказчика на лицевом счете Заказчика (по запросу) – бесплатно;</w:t>
      </w:r>
    </w:p>
    <w:p w:rsidR="00735D58" w:rsidRDefault="00735D58" w:rsidP="00735D58">
      <w:pPr>
        <w:pStyle w:val="a4"/>
        <w:numPr>
          <w:ilvl w:val="0"/>
          <w:numId w:val="7"/>
        </w:numPr>
        <w:jc w:val="both"/>
      </w:pPr>
      <w:r>
        <w:t>ведение лицевого счета Заказчика – бесплатно;</w:t>
      </w:r>
    </w:p>
    <w:p w:rsidR="00735D58" w:rsidRPr="00506DE7" w:rsidRDefault="00735D58" w:rsidP="00735D58">
      <w:pPr>
        <w:pStyle w:val="a4"/>
        <w:numPr>
          <w:ilvl w:val="0"/>
          <w:numId w:val="7"/>
        </w:numPr>
        <w:jc w:val="both"/>
      </w:pPr>
      <w:r w:rsidRPr="00506DE7">
        <w:t>открытие/закрытие лицевого счета Заказчика, изменение сведений о Заказчике – бесплатно;</w:t>
      </w:r>
    </w:p>
    <w:p w:rsidR="00735D58" w:rsidRPr="00506DE7" w:rsidRDefault="00735D58" w:rsidP="00735D58">
      <w:pPr>
        <w:pStyle w:val="a4"/>
        <w:numPr>
          <w:ilvl w:val="0"/>
          <w:numId w:val="7"/>
        </w:numPr>
        <w:jc w:val="both"/>
      </w:pPr>
      <w:r w:rsidRPr="00506DE7">
        <w:t xml:space="preserve">размер комиссий за оказание брокерских услуг по покупке/продаже финансовых инструментов на организованном рынке </w:t>
      </w:r>
      <w:r w:rsidRPr="00506DE7">
        <w:rPr>
          <w:lang w:val="en-US"/>
        </w:rPr>
        <w:t>KASE</w:t>
      </w:r>
      <w:r w:rsidRPr="00506DE7">
        <w:t xml:space="preserve"> – не более 0,0</w:t>
      </w:r>
      <w:r w:rsidR="00C20793" w:rsidRPr="00506DE7">
        <w:t>05</w:t>
      </w:r>
      <w:r w:rsidRPr="00506DE7">
        <w:t>% от суммы сделки</w:t>
      </w:r>
      <w:r w:rsidR="00C20793" w:rsidRPr="00506DE7">
        <w:t xml:space="preserve"> (минимум 1000 тенге, максимум 100 МРП)</w:t>
      </w:r>
      <w:r w:rsidRPr="00506DE7">
        <w:t>;</w:t>
      </w:r>
    </w:p>
    <w:p w:rsidR="00C20793" w:rsidRPr="00506DE7" w:rsidRDefault="00C20793" w:rsidP="00C20793">
      <w:pPr>
        <w:pStyle w:val="a4"/>
        <w:numPr>
          <w:ilvl w:val="0"/>
          <w:numId w:val="7"/>
        </w:numPr>
        <w:jc w:val="both"/>
      </w:pPr>
      <w:r w:rsidRPr="00506DE7">
        <w:t xml:space="preserve">размер комиссий за оказание брокерских услуг по покупке/продаже финансовых инструментов на рынке </w:t>
      </w:r>
      <w:r w:rsidRPr="00506DE7">
        <w:rPr>
          <w:lang w:val="en-US"/>
        </w:rPr>
        <w:t>AIX</w:t>
      </w:r>
      <w:r w:rsidRPr="00506DE7">
        <w:t xml:space="preserve"> – не более 0,005% от суммы сделки (минимум 3500 тенге от заказа);</w:t>
      </w:r>
    </w:p>
    <w:p w:rsidR="00C20793" w:rsidRPr="00506DE7" w:rsidRDefault="00C20793" w:rsidP="00C20793">
      <w:pPr>
        <w:pStyle w:val="a4"/>
        <w:numPr>
          <w:ilvl w:val="0"/>
          <w:numId w:val="7"/>
        </w:numPr>
        <w:jc w:val="both"/>
      </w:pPr>
      <w:r w:rsidRPr="00506DE7">
        <w:t>размер комиссий за оказание брокерских услуг по покупке/продаже финансовых инструментов на международных рынках – не более 0,03% от суммы сделки (минимум 3500 тенге, максимум 100 МРП);</w:t>
      </w:r>
    </w:p>
    <w:p w:rsidR="00C20793" w:rsidRPr="00506DE7" w:rsidRDefault="00E743AD" w:rsidP="00C20793">
      <w:pPr>
        <w:pStyle w:val="a4"/>
        <w:numPr>
          <w:ilvl w:val="0"/>
          <w:numId w:val="7"/>
        </w:numPr>
        <w:jc w:val="both"/>
      </w:pPr>
      <w:r w:rsidRPr="00506DE7">
        <w:t>привлечение/размещение денежных средств (не включая тариф биржи) – 0,003% от суммы дохода (минимум 1 МРП);</w:t>
      </w:r>
    </w:p>
    <w:p w:rsidR="00E743AD" w:rsidRPr="00506DE7" w:rsidRDefault="00E743AD" w:rsidP="00C20793">
      <w:pPr>
        <w:pStyle w:val="a4"/>
        <w:numPr>
          <w:ilvl w:val="0"/>
          <w:numId w:val="7"/>
        </w:numPr>
        <w:jc w:val="both"/>
      </w:pPr>
      <w:r w:rsidRPr="00506DE7">
        <w:t>зачисление ценных бумаг – бесплатно;</w:t>
      </w:r>
    </w:p>
    <w:p w:rsidR="00E743AD" w:rsidRPr="00506DE7" w:rsidRDefault="00E743AD" w:rsidP="00C20793">
      <w:pPr>
        <w:pStyle w:val="a4"/>
        <w:numPr>
          <w:ilvl w:val="0"/>
          <w:numId w:val="7"/>
        </w:numPr>
        <w:jc w:val="both"/>
      </w:pPr>
      <w:r w:rsidRPr="00506DE7">
        <w:t>списание ценных бумаг – не более 2 МРП;</w:t>
      </w:r>
    </w:p>
    <w:p w:rsidR="00E743AD" w:rsidRPr="00506DE7" w:rsidRDefault="00E743AD" w:rsidP="00C20793">
      <w:pPr>
        <w:pStyle w:val="a4"/>
        <w:numPr>
          <w:ilvl w:val="0"/>
          <w:numId w:val="7"/>
        </w:numPr>
        <w:jc w:val="both"/>
      </w:pPr>
      <w:r w:rsidRPr="00506DE7">
        <w:t>списание денежных средств</w:t>
      </w:r>
      <w:r w:rsidR="00402A88" w:rsidRPr="00506DE7">
        <w:t xml:space="preserve"> по поручению клиента до 15.00 национальная валюта – не более 300 тенге; другая иностранная валюта не более 1 МРП;</w:t>
      </w:r>
    </w:p>
    <w:p w:rsidR="00C20793" w:rsidRPr="00506DE7" w:rsidRDefault="00402A88" w:rsidP="00735D58">
      <w:pPr>
        <w:pStyle w:val="a4"/>
        <w:numPr>
          <w:ilvl w:val="0"/>
          <w:numId w:val="7"/>
        </w:numPr>
        <w:jc w:val="both"/>
      </w:pPr>
      <w:r w:rsidRPr="00506DE7">
        <w:t>конвертация денежных средств – не более 0,005% от суммы конвертации (минимум 1 МРП, максимум 75 МРП);</w:t>
      </w:r>
    </w:p>
    <w:p w:rsidR="00735D58" w:rsidRPr="00506DE7" w:rsidRDefault="00735D58" w:rsidP="00735D58">
      <w:pPr>
        <w:pStyle w:val="a4"/>
        <w:numPr>
          <w:ilvl w:val="0"/>
          <w:numId w:val="7"/>
        </w:numPr>
        <w:tabs>
          <w:tab w:val="left" w:pos="851"/>
        </w:tabs>
        <w:jc w:val="both"/>
      </w:pPr>
      <w:r w:rsidRPr="00506DE7">
        <w:t>комиссии АО "Центральный депозитарий ценных бумаг", АО «Казахстанская фондовая биржа»</w:t>
      </w:r>
      <w:r w:rsidR="00402A88" w:rsidRPr="00506DE7">
        <w:t>, комиссии Кастодианов</w:t>
      </w:r>
      <w:r w:rsidRPr="00506DE7">
        <w:t xml:space="preserve"> перевыставляются брокером Заказчику и </w:t>
      </w:r>
      <w:r w:rsidRPr="00506DE7">
        <w:rPr>
          <w:lang w:val="kk-KZ"/>
        </w:rPr>
        <w:t>оплачиваются</w:t>
      </w:r>
      <w:r w:rsidRPr="00506DE7">
        <w:t xml:space="preserve"> Заказчик</w:t>
      </w:r>
      <w:r w:rsidRPr="00506DE7">
        <w:rPr>
          <w:lang w:val="kk-KZ"/>
        </w:rPr>
        <w:t>ом</w:t>
      </w:r>
      <w:r w:rsidRPr="00506DE7">
        <w:t xml:space="preserve"> в полном объеме.</w:t>
      </w:r>
    </w:p>
    <w:p w:rsidR="00735D58" w:rsidRPr="00506DE7" w:rsidRDefault="007B28C8" w:rsidP="004F6322">
      <w:pPr>
        <w:ind w:left="284" w:right="50" w:firstLine="425"/>
        <w:rPr>
          <w:color w:val="000000"/>
        </w:rPr>
      </w:pPr>
      <w:r w:rsidRPr="00506DE7">
        <w:rPr>
          <w:color w:val="000000"/>
        </w:rPr>
        <w:t>Тарифы действуют до окончания срока действия договора.</w:t>
      </w:r>
    </w:p>
    <w:p w:rsidR="007B28C8" w:rsidRPr="00402A88" w:rsidRDefault="004F6322" w:rsidP="004F6322">
      <w:pPr>
        <w:ind w:left="284" w:right="50" w:firstLine="425"/>
        <w:rPr>
          <w:color w:val="000000"/>
        </w:rPr>
      </w:pPr>
      <w:r w:rsidRPr="00506DE7">
        <w:rPr>
          <w:color w:val="000000"/>
        </w:rPr>
        <w:t>В случае не указанных тарифов, но связанных с оказанием услуг Брокером клиенту оплачиваются по факту в соответствии с утвержденными внутренними документами Брокера.</w:t>
      </w:r>
    </w:p>
    <w:p w:rsidR="00735D58" w:rsidRPr="00735D58" w:rsidRDefault="00735D58" w:rsidP="00735D58">
      <w:pPr>
        <w:spacing w:after="277"/>
        <w:ind w:left="284" w:right="50"/>
        <w:rPr>
          <w:b/>
          <w:color w:val="000000"/>
        </w:rPr>
      </w:pPr>
    </w:p>
    <w:p w:rsidR="002E2987" w:rsidRDefault="002E2987" w:rsidP="002E2987">
      <w:pPr>
        <w:pStyle w:val="a4"/>
        <w:tabs>
          <w:tab w:val="left" w:pos="851"/>
        </w:tabs>
        <w:ind w:left="644"/>
        <w:jc w:val="both"/>
      </w:pPr>
    </w:p>
    <w:p w:rsidR="00514427" w:rsidRDefault="00514427" w:rsidP="002E2987">
      <w:pPr>
        <w:pStyle w:val="a4"/>
        <w:tabs>
          <w:tab w:val="left" w:pos="851"/>
        </w:tabs>
        <w:ind w:left="644"/>
        <w:jc w:val="both"/>
      </w:pPr>
    </w:p>
    <w:p w:rsidR="00514427" w:rsidRDefault="00514427" w:rsidP="00514427">
      <w:pPr>
        <w:pStyle w:val="CM1"/>
        <w:jc w:val="center"/>
        <w:rPr>
          <w:rFonts w:ascii="Times New Roman" w:hAnsi="Times New Roman" w:cs="Times New Roman"/>
          <w:b/>
          <w:bCs/>
          <w:color w:val="000000"/>
          <w:sz w:val="23"/>
          <w:szCs w:val="23"/>
        </w:rPr>
      </w:pPr>
      <w:r w:rsidRPr="006D4F98">
        <w:rPr>
          <w:rFonts w:ascii="Times New Roman" w:hAnsi="Times New Roman" w:cs="Times New Roman"/>
          <w:b/>
          <w:bCs/>
          <w:color w:val="000000"/>
          <w:sz w:val="23"/>
          <w:szCs w:val="23"/>
        </w:rPr>
        <w:t xml:space="preserve">Бағалы қағаздармен делдалдық операцияларды жүргізу бойынша </w:t>
      </w:r>
    </w:p>
    <w:p w:rsidR="00514427" w:rsidRPr="006D4F98" w:rsidRDefault="00514427" w:rsidP="00514427">
      <w:pPr>
        <w:pStyle w:val="CM1"/>
        <w:jc w:val="center"/>
        <w:rPr>
          <w:rFonts w:ascii="Times New Roman" w:hAnsi="Times New Roman" w:cs="Times New Roman"/>
          <w:b/>
          <w:bCs/>
          <w:color w:val="000000"/>
          <w:sz w:val="23"/>
          <w:szCs w:val="23"/>
          <w:lang w:val="kk-KZ"/>
        </w:rPr>
      </w:pPr>
      <w:r w:rsidRPr="006D4F98">
        <w:rPr>
          <w:rFonts w:ascii="Times New Roman" w:hAnsi="Times New Roman" w:cs="Times New Roman"/>
          <w:b/>
          <w:bCs/>
          <w:color w:val="000000"/>
          <w:sz w:val="23"/>
          <w:szCs w:val="23"/>
        </w:rPr>
        <w:t xml:space="preserve">қызметтерді көрсету туралы шартқа техникалық </w:t>
      </w:r>
      <w:r>
        <w:rPr>
          <w:rFonts w:ascii="Times New Roman" w:hAnsi="Times New Roman" w:cs="Times New Roman"/>
          <w:b/>
          <w:bCs/>
          <w:color w:val="000000"/>
          <w:sz w:val="23"/>
          <w:szCs w:val="23"/>
          <w:lang w:val="kk-KZ"/>
        </w:rPr>
        <w:t>ерекшелік</w:t>
      </w:r>
    </w:p>
    <w:p w:rsidR="00514427" w:rsidRDefault="00514427" w:rsidP="00514427">
      <w:pPr>
        <w:pStyle w:val="CM1"/>
        <w:jc w:val="center"/>
        <w:rPr>
          <w:rFonts w:ascii="Times New Roman" w:hAnsi="Times New Roman" w:cs="Times New Roman"/>
          <w:b/>
          <w:bCs/>
          <w:color w:val="000000"/>
          <w:sz w:val="23"/>
          <w:szCs w:val="23"/>
        </w:rPr>
      </w:pPr>
    </w:p>
    <w:p w:rsidR="00514427" w:rsidRDefault="00514427" w:rsidP="00514427">
      <w:pPr>
        <w:jc w:val="center"/>
      </w:pPr>
    </w:p>
    <w:p w:rsidR="00514427" w:rsidRDefault="00514427" w:rsidP="00514427">
      <w:pPr>
        <w:ind w:firstLine="284"/>
        <w:rPr>
          <w:b/>
          <w:bCs/>
          <w:sz w:val="23"/>
          <w:szCs w:val="23"/>
          <w:lang w:val="kk-KZ"/>
        </w:rPr>
      </w:pPr>
      <w:r w:rsidRPr="006D4F98">
        <w:rPr>
          <w:b/>
          <w:bCs/>
          <w:sz w:val="23"/>
          <w:szCs w:val="23"/>
          <w:lang w:val="kk-KZ"/>
        </w:rPr>
        <w:t>Қызмет: номиналды ұстауы бар бағалы қағаздармен операциялар бойынша брокерлік қызметтер</w:t>
      </w:r>
    </w:p>
    <w:p w:rsidR="00514427" w:rsidRDefault="00514427" w:rsidP="00514427">
      <w:pPr>
        <w:ind w:firstLine="284"/>
        <w:rPr>
          <w:b/>
          <w:bCs/>
          <w:sz w:val="23"/>
          <w:szCs w:val="23"/>
        </w:rPr>
      </w:pPr>
    </w:p>
    <w:p w:rsidR="00514427" w:rsidRDefault="00514427" w:rsidP="00514427">
      <w:pPr>
        <w:spacing w:after="4" w:line="252" w:lineRule="auto"/>
        <w:ind w:right="50" w:firstLine="709"/>
        <w:jc w:val="both"/>
        <w:rPr>
          <w:b/>
          <w:bCs/>
          <w:sz w:val="23"/>
          <w:szCs w:val="23"/>
          <w:lang w:val="kk-KZ"/>
        </w:rPr>
      </w:pPr>
      <w:r>
        <w:rPr>
          <w:b/>
          <w:bCs/>
          <w:sz w:val="23"/>
          <w:szCs w:val="23"/>
          <w:lang w:val="kk-KZ"/>
        </w:rPr>
        <w:t>Б</w:t>
      </w:r>
      <w:r w:rsidRPr="006D4F98">
        <w:rPr>
          <w:b/>
          <w:bCs/>
          <w:sz w:val="23"/>
          <w:szCs w:val="23"/>
          <w:lang w:val="kk-KZ"/>
        </w:rPr>
        <w:t>рокерлік қызмет</w:t>
      </w:r>
      <w:r>
        <w:rPr>
          <w:b/>
          <w:bCs/>
          <w:sz w:val="23"/>
          <w:szCs w:val="23"/>
          <w:lang w:val="kk-KZ"/>
        </w:rPr>
        <w:t xml:space="preserve"> көрсету</w:t>
      </w:r>
    </w:p>
    <w:p w:rsidR="00514427" w:rsidRPr="006D4F98" w:rsidRDefault="00514427" w:rsidP="00514427">
      <w:pPr>
        <w:spacing w:after="4" w:line="252" w:lineRule="auto"/>
        <w:ind w:right="50" w:firstLine="709"/>
        <w:jc w:val="both"/>
        <w:rPr>
          <w:color w:val="000000"/>
        </w:rPr>
      </w:pPr>
      <w:r w:rsidRPr="006D4F98">
        <w:rPr>
          <w:color w:val="000000"/>
        </w:rPr>
        <w:t>Бағалы қағаздар нарығында номиналды ұстаушы ретінде Клиенттің шоттарын жүргізу құқығымен брокерлік қызметтерді көрсетуге дайын болу. Брокерлік қызметтер деп Брокерге Клиент берген және орындауға қабылданған клиенттік тапсырыстар негізінде Брокер өз атынан</w:t>
      </w:r>
      <w:r>
        <w:rPr>
          <w:color w:val="000000"/>
          <w:lang w:val="kk-KZ"/>
        </w:rPr>
        <w:t xml:space="preserve"> </w:t>
      </w:r>
      <w:r w:rsidRPr="006D4F98">
        <w:rPr>
          <w:color w:val="000000"/>
        </w:rPr>
        <w:t>(ұйымдастырылған бағалы қағаздар нарығында мәмілелер жасалған жағдайда), Клиенттің атынан және есебінен бағалы қағаздар нарығында операциялар мен мәмілелерді жүзеге асыру жөніндегі қызметтер түсініледі.</w:t>
      </w:r>
    </w:p>
    <w:p w:rsidR="00514427" w:rsidRDefault="00514427" w:rsidP="00514427">
      <w:pPr>
        <w:spacing w:after="4" w:line="252" w:lineRule="auto"/>
        <w:ind w:right="50" w:firstLine="709"/>
        <w:jc w:val="both"/>
        <w:rPr>
          <w:color w:val="000000"/>
        </w:rPr>
      </w:pPr>
    </w:p>
    <w:p w:rsidR="00514427" w:rsidRPr="003016E0" w:rsidRDefault="00514427" w:rsidP="00514427">
      <w:pPr>
        <w:ind w:right="50" w:firstLine="709"/>
        <w:jc w:val="both"/>
        <w:rPr>
          <w:b/>
        </w:rPr>
      </w:pPr>
      <w:r w:rsidRPr="002B404F">
        <w:rPr>
          <w:b/>
        </w:rPr>
        <w:t>Номиналды ұстау</w:t>
      </w:r>
    </w:p>
    <w:p w:rsidR="00514427" w:rsidRDefault="00514427" w:rsidP="00514427">
      <w:pPr>
        <w:spacing w:after="50"/>
        <w:ind w:right="50" w:firstLine="709"/>
        <w:jc w:val="both"/>
      </w:pPr>
      <w:r>
        <w:t>Номиналды ұстаушы ретінде Клиенттің шотын жүргізу Клиент берген және брокер орындауға қабылданған клиенттің тапсырыстары мен жазбаша өтініштері негізінде</w:t>
      </w:r>
      <w:r>
        <w:rPr>
          <w:lang w:val="kk-KZ"/>
        </w:rPr>
        <w:t>,</w:t>
      </w:r>
      <w:r>
        <w:t xml:space="preserve"> сондай-ақ Қазақстан Республикасының заңнамасына сәйкес үшінші тұлғалардың нұсқаулары бойынша Клиенттің жеке кабинетінде орындалатын брокердің әрекеттері түсіндіріледі. </w:t>
      </w:r>
    </w:p>
    <w:p w:rsidR="00514427" w:rsidRDefault="00514427" w:rsidP="00514427">
      <w:pPr>
        <w:spacing w:after="76"/>
        <w:ind w:right="50" w:firstLine="709"/>
        <w:jc w:val="both"/>
      </w:pPr>
      <w:r w:rsidRPr="002B404F">
        <w:t xml:space="preserve">Номиналды ұстаушы ретінде Клиенттің жеке кабинетін жүргізу және ол бойынша </w:t>
      </w:r>
      <w:r>
        <w:rPr>
          <w:lang w:val="kk-KZ"/>
        </w:rPr>
        <w:t>келесі опера</w:t>
      </w:r>
      <w:r w:rsidRPr="002B404F">
        <w:t>цияларды жүргізу бойынша қызметтерді көрсетуге дайын болу</w:t>
      </w:r>
      <w:r>
        <w:rPr>
          <w:lang w:val="kk-KZ"/>
        </w:rPr>
        <w:t xml:space="preserve"> түсіндіріледі</w:t>
      </w:r>
      <w:r w:rsidRPr="002B404F">
        <w:t>:</w:t>
      </w:r>
    </w:p>
    <w:p w:rsidR="00514427" w:rsidRDefault="00514427" w:rsidP="00514427">
      <w:pPr>
        <w:spacing w:after="76"/>
        <w:ind w:right="50" w:firstLine="709"/>
        <w:jc w:val="both"/>
      </w:pPr>
      <w:r w:rsidRPr="002B404F">
        <w:t>1) жеке шот бойынша операциялар: жеке шот ашу, бағалы қағаздарды ұстаушы туралы мәліметтерді ө</w:t>
      </w:r>
      <w:r>
        <w:t xml:space="preserve">згерту, қаржы құралдарын жою, </w:t>
      </w:r>
      <w:r w:rsidRPr="002B404F">
        <w:t>бағалы қағаздарды бағалы қағаздарды ұстаушылардың шоттарына</w:t>
      </w:r>
      <w:r>
        <w:rPr>
          <w:lang w:val="kk-KZ"/>
        </w:rPr>
        <w:t>н</w:t>
      </w:r>
      <w:r w:rsidRPr="002B404F">
        <w:t>/шоттарына есептен шығару/есепке алу, эмитенттен қаржы құралдары бойынша алынған кірістерді есепке алу, Клиенттің жеке шотындағы қаржы құралдарының санының өзгеруі</w:t>
      </w:r>
      <w:r>
        <w:rPr>
          <w:lang w:val="kk-KZ"/>
        </w:rPr>
        <w:t xml:space="preserve"> туралы жазбаларды енгізу</w:t>
      </w:r>
      <w:r w:rsidRPr="002B404F">
        <w:t xml:space="preserve">, қаржы құралдарының ауыртпалығы және ауыртпалықты </w:t>
      </w:r>
      <w:r>
        <w:rPr>
          <w:lang w:val="kk-KZ"/>
        </w:rPr>
        <w:t>алып тастау</w:t>
      </w:r>
      <w:r w:rsidRPr="002B404F">
        <w:t xml:space="preserve">, қаржы құралдарын бұғаттау және бұғаттауды </w:t>
      </w:r>
      <w:r>
        <w:rPr>
          <w:lang w:val="kk-KZ"/>
        </w:rPr>
        <w:t>алып тастау</w:t>
      </w:r>
      <w:r w:rsidRPr="002B404F">
        <w:t>, сенімгерлік басқарушы туралы жазбаларды енгізу және сенімгерлік басқарушы туралы жазбаны жою, жек</w:t>
      </w:r>
      <w:r>
        <w:t xml:space="preserve">е кабинетті жабу; </w:t>
      </w:r>
    </w:p>
    <w:p w:rsidR="00514427" w:rsidRPr="003D6C45" w:rsidRDefault="00514427" w:rsidP="00514427">
      <w:pPr>
        <w:spacing w:after="76"/>
        <w:ind w:right="50" w:firstLine="709"/>
        <w:jc w:val="both"/>
        <w:rPr>
          <w:lang w:val="kk-KZ"/>
        </w:rPr>
      </w:pPr>
      <w:r>
        <w:t xml:space="preserve">2) ақпараттық операциялар: жеке шоттан үзінді көшірме беру, орындалған операциялар туралы есеп беру, жеке шоттың жай-күйі туралы басқа есептерді дайындау және беру, </w:t>
      </w:r>
      <w:r w:rsidRPr="003D6C45">
        <w:t>оның ішінде Клиенттің Брокердің номиналды ұстауына берілген бағалы қағаздар</w:t>
      </w:r>
      <w:r>
        <w:t>ға құқықтарын растау мақсатында</w:t>
      </w:r>
      <w:r>
        <w:rPr>
          <w:lang w:val="kk-KZ"/>
        </w:rPr>
        <w:t>.</w:t>
      </w:r>
    </w:p>
    <w:p w:rsidR="00514427" w:rsidRPr="00514427" w:rsidRDefault="00514427" w:rsidP="00514427">
      <w:pPr>
        <w:spacing w:after="76"/>
        <w:ind w:right="50" w:firstLine="709"/>
        <w:jc w:val="both"/>
        <w:rPr>
          <w:lang w:val="kk-KZ"/>
        </w:rPr>
      </w:pPr>
      <w:r w:rsidRPr="00514427">
        <w:rPr>
          <w:lang w:val="kk-KZ"/>
        </w:rPr>
        <w:t>3) Клиенттің жеке шотында номиналды ұстауды есепке алу жүйесінде қамтылған ақпаратты сақтау;</w:t>
      </w:r>
    </w:p>
    <w:p w:rsidR="00514427" w:rsidRPr="00514427" w:rsidRDefault="00514427" w:rsidP="00514427">
      <w:pPr>
        <w:spacing w:after="76"/>
        <w:ind w:right="50" w:firstLine="709"/>
        <w:jc w:val="both"/>
        <w:rPr>
          <w:lang w:val="kk-KZ"/>
        </w:rPr>
      </w:pPr>
      <w:r w:rsidRPr="00514427">
        <w:rPr>
          <w:lang w:val="kk-KZ"/>
        </w:rPr>
        <w:t>4) Қазақстан Республикасының заңнамасында белгіленген тәртіппен және мерзімде Клиенттің жеке шотына өзгерістер енгізу;</w:t>
      </w:r>
    </w:p>
    <w:p w:rsidR="00514427" w:rsidRPr="00514427" w:rsidRDefault="00514427" w:rsidP="00514427">
      <w:pPr>
        <w:spacing w:after="76"/>
        <w:ind w:right="50" w:firstLine="709"/>
        <w:jc w:val="both"/>
        <w:rPr>
          <w:lang w:val="kk-KZ"/>
        </w:rPr>
      </w:pPr>
      <w:r w:rsidRPr="00514427">
        <w:rPr>
          <w:lang w:val="kk-KZ"/>
        </w:rPr>
        <w:t>5) тіркеушінің, орталық депозитарийдің және эмитенттің талабы бойынша бағалы қағаздары оның номиналды ұстауында болатын Клиент туралы ақпаратты ұсыну;</w:t>
      </w:r>
    </w:p>
    <w:p w:rsidR="00514427" w:rsidRPr="00514427" w:rsidRDefault="00514427" w:rsidP="00514427">
      <w:pPr>
        <w:spacing w:after="76"/>
        <w:ind w:right="50" w:firstLine="709"/>
        <w:jc w:val="both"/>
        <w:rPr>
          <w:lang w:val="kk-KZ"/>
        </w:rPr>
      </w:pPr>
      <w:r w:rsidRPr="00514427">
        <w:rPr>
          <w:lang w:val="kk-KZ"/>
        </w:rPr>
        <w:t>6) инвестициялық кірісті алу және оны Клиенттің жеке шотына аудару;</w:t>
      </w:r>
    </w:p>
    <w:p w:rsidR="00514427" w:rsidRPr="00514427" w:rsidRDefault="00514427" w:rsidP="00514427">
      <w:pPr>
        <w:spacing w:after="76"/>
        <w:ind w:right="50" w:firstLine="709"/>
        <w:jc w:val="both"/>
        <w:rPr>
          <w:lang w:val="kk-KZ"/>
        </w:rPr>
      </w:pPr>
      <w:r w:rsidRPr="00514427">
        <w:rPr>
          <w:lang w:val="kk-KZ"/>
        </w:rPr>
        <w:t>7) Клиентке тиесілі қаржы құралдары бойынша кіріс алу туралы Клиентке хабарлама.</w:t>
      </w:r>
    </w:p>
    <w:p w:rsidR="00514427" w:rsidRPr="00514427" w:rsidRDefault="00514427" w:rsidP="00514427">
      <w:pPr>
        <w:spacing w:after="76"/>
        <w:ind w:right="50" w:firstLine="709"/>
        <w:jc w:val="both"/>
        <w:rPr>
          <w:lang w:val="kk-KZ"/>
        </w:rPr>
      </w:pPr>
    </w:p>
    <w:p w:rsidR="00514427" w:rsidRPr="00514427" w:rsidRDefault="00514427" w:rsidP="00514427">
      <w:pPr>
        <w:spacing w:after="277"/>
        <w:ind w:left="284" w:right="50"/>
        <w:rPr>
          <w:b/>
          <w:color w:val="000000"/>
          <w:u w:val="single" w:color="000000"/>
          <w:lang w:val="kk-KZ"/>
        </w:rPr>
      </w:pPr>
      <w:r w:rsidRPr="00514427">
        <w:rPr>
          <w:b/>
          <w:color w:val="000000"/>
          <w:u w:val="single" w:color="000000"/>
          <w:lang w:val="kk-KZ"/>
        </w:rPr>
        <w:t>Брокерлік қызметті жеткізушіге қойылатын талаптар</w:t>
      </w:r>
    </w:p>
    <w:p w:rsidR="00514427" w:rsidRPr="00514427" w:rsidRDefault="00514427" w:rsidP="00514427">
      <w:pPr>
        <w:ind w:right="50" w:firstLine="567"/>
        <w:jc w:val="both"/>
        <w:rPr>
          <w:lang w:val="kk-KZ"/>
        </w:rPr>
      </w:pPr>
      <w:r w:rsidRPr="00514427">
        <w:rPr>
          <w:lang w:val="kk-KZ"/>
        </w:rPr>
        <w:t>Қызмет тек Тапсырыс берушінің өтінімі бойынша көрсетіледі.</w:t>
      </w:r>
    </w:p>
    <w:p w:rsidR="00514427" w:rsidRPr="00514427" w:rsidRDefault="00514427" w:rsidP="00514427">
      <w:pPr>
        <w:ind w:right="50" w:firstLine="567"/>
        <w:jc w:val="both"/>
        <w:rPr>
          <w:lang w:val="kk-KZ"/>
        </w:rPr>
      </w:pPr>
      <w:r w:rsidRPr="00514427">
        <w:rPr>
          <w:lang w:val="kk-KZ"/>
        </w:rPr>
        <w:lastRenderedPageBreak/>
        <w:t xml:space="preserve">Тапсырыс берушімен келісілген қаражатты </w:t>
      </w:r>
      <w:r>
        <w:rPr>
          <w:lang w:val="kk-KZ"/>
        </w:rPr>
        <w:t xml:space="preserve">төмендегі </w:t>
      </w:r>
      <w:r w:rsidRPr="00514427">
        <w:rPr>
          <w:lang w:val="kk-KZ"/>
        </w:rPr>
        <w:t>санатқа жататын бағалы қағаздарға орналастыру:</w:t>
      </w:r>
    </w:p>
    <w:p w:rsidR="00514427" w:rsidRDefault="00514427" w:rsidP="00514427">
      <w:pPr>
        <w:ind w:right="50" w:firstLine="567"/>
        <w:jc w:val="both"/>
      </w:pPr>
      <w:r>
        <w:t>а) Қазақстан Республикасының мемлекеттік бағалы қағаздары;</w:t>
      </w:r>
    </w:p>
    <w:p w:rsidR="00514427" w:rsidRDefault="00514427" w:rsidP="00514427">
      <w:pPr>
        <w:ind w:right="50" w:firstLine="567"/>
        <w:jc w:val="both"/>
      </w:pPr>
      <w:r>
        <w:t>б) келесі халықаралық қаржы ұйымдары шығарған бағалы қағаздар (Халықаралық қайта құру және даму банкі, Еуропалық қайта құру және даму банкі, Азия даму банкі);</w:t>
      </w:r>
    </w:p>
    <w:p w:rsidR="00514427" w:rsidRDefault="00514427" w:rsidP="00514427">
      <w:pPr>
        <w:ind w:right="50" w:firstLine="567"/>
        <w:jc w:val="both"/>
      </w:pPr>
      <w:r>
        <w:t>в) Standard &amp; Poor's шкаласы бойынша BBB немесе Moody's Investors Service шкаласы бойынша Baa3 (бұдан әрі - Moody's) немесе Fitch Ratings шкаласы бойынша BBB төмен емес кредиттік рейтингі бар елдердің мемлекеттік бағалы қағаздары;</w:t>
      </w:r>
    </w:p>
    <w:p w:rsidR="00514427" w:rsidRDefault="00514427" w:rsidP="00514427">
      <w:pPr>
        <w:ind w:right="50" w:firstLine="567"/>
        <w:jc w:val="both"/>
      </w:pPr>
      <w:r>
        <w:t>г) Қазақстан Республикасының аумағында жұмыс істейтін қор биржасының жоғары санатты тізіміне енгізілген қазақстандық эмитенттердің мемлекеттік емес бағалы қағаздары;</w:t>
      </w:r>
    </w:p>
    <w:p w:rsidR="00514427" w:rsidRDefault="00514427" w:rsidP="00514427">
      <w:pPr>
        <w:ind w:right="50" w:firstLine="567"/>
        <w:jc w:val="both"/>
      </w:pPr>
      <w:r>
        <w:t>д) Қазақстан қор биржасында мемлекеттік бағалы қағаздар себетімен автоматты репо операцияларына ақша қаражаттарын орналастыру.</w:t>
      </w:r>
    </w:p>
    <w:p w:rsidR="00514427" w:rsidRDefault="00514427" w:rsidP="00514427">
      <w:pPr>
        <w:ind w:right="50" w:firstLine="567"/>
        <w:jc w:val="both"/>
      </w:pPr>
    </w:p>
    <w:p w:rsidR="00514427" w:rsidRDefault="00514427" w:rsidP="00514427">
      <w:pPr>
        <w:ind w:right="50" w:firstLine="567"/>
        <w:jc w:val="both"/>
      </w:pPr>
      <w:r w:rsidRPr="003D6C45">
        <w:t xml:space="preserve">Орналастыру мерзімі </w:t>
      </w:r>
      <w:r>
        <w:rPr>
          <w:lang w:val="kk-KZ"/>
        </w:rPr>
        <w:t>Тапсырыс берушінің</w:t>
      </w:r>
      <w:r w:rsidRPr="003D6C45">
        <w:t xml:space="preserve"> қаражатын брокерлік шотқа аударған күннен бастап 2024 жылдың 31 желтоқсанын қоса алғанда. Бұл ретте, Тапсырыс беруші белгіленген мерзімнен бұрын қаражатты орналастыруды тоқтатуға және егер ол орынсыз болса, тараптардың өзара келісімі бойынша шартты бұзуға құқылы.</w:t>
      </w:r>
    </w:p>
    <w:p w:rsidR="00514427" w:rsidRDefault="00514427" w:rsidP="00514427">
      <w:pPr>
        <w:ind w:right="50" w:firstLine="567"/>
        <w:jc w:val="both"/>
      </w:pPr>
    </w:p>
    <w:p w:rsidR="00514427" w:rsidRDefault="00514427" w:rsidP="00514427">
      <w:pPr>
        <w:ind w:right="5" w:firstLine="709"/>
        <w:jc w:val="both"/>
        <w:rPr>
          <w:b/>
        </w:rPr>
      </w:pPr>
      <w:r w:rsidRPr="003D6C45">
        <w:rPr>
          <w:b/>
        </w:rPr>
        <w:t>Делдалдық</w:t>
      </w:r>
      <w:r>
        <w:rPr>
          <w:b/>
          <w:lang w:val="kk-KZ"/>
        </w:rPr>
        <w:t xml:space="preserve"> қызметтер үшін</w:t>
      </w:r>
      <w:r w:rsidRPr="003D6C45">
        <w:rPr>
          <w:b/>
        </w:rPr>
        <w:t xml:space="preserve"> төлемдер</w:t>
      </w:r>
    </w:p>
    <w:p w:rsidR="00514427" w:rsidRPr="00735D58" w:rsidRDefault="00514427" w:rsidP="00514427">
      <w:pPr>
        <w:ind w:right="5" w:firstLine="709"/>
        <w:jc w:val="both"/>
        <w:rPr>
          <w:b/>
        </w:rPr>
      </w:pPr>
    </w:p>
    <w:p w:rsidR="00514427" w:rsidRDefault="00514427" w:rsidP="00514427">
      <w:pPr>
        <w:pStyle w:val="a4"/>
        <w:ind w:left="644" w:hanging="360"/>
        <w:jc w:val="both"/>
      </w:pPr>
      <w:r>
        <w:t>1) Тапсырыс берушінің жеке шотынан үзінді көшірме (ай сайын) – тегін;</w:t>
      </w:r>
    </w:p>
    <w:p w:rsidR="00514427" w:rsidRPr="003D6C45" w:rsidRDefault="00514427" w:rsidP="00514427">
      <w:pPr>
        <w:pStyle w:val="a4"/>
        <w:ind w:left="644" w:hanging="360"/>
        <w:jc w:val="both"/>
        <w:rPr>
          <w:lang w:val="kk-KZ"/>
        </w:rPr>
      </w:pPr>
      <w:r>
        <w:t>2) Тапсырыс берушінің жеке шотындағы Тапсырыс беруші активтерінің қозғалысы туралы есепті ұсыну (сұраныс бойынша) – тегін;</w:t>
      </w:r>
      <w:r>
        <w:rPr>
          <w:lang w:val="kk-KZ"/>
        </w:rPr>
        <w:t xml:space="preserve"> </w:t>
      </w:r>
    </w:p>
    <w:p w:rsidR="00514427" w:rsidRPr="003D6C45" w:rsidRDefault="00514427" w:rsidP="00514427">
      <w:pPr>
        <w:pStyle w:val="a4"/>
        <w:ind w:left="644" w:hanging="360"/>
        <w:jc w:val="both"/>
        <w:rPr>
          <w:lang w:val="kk-KZ"/>
        </w:rPr>
      </w:pPr>
      <w:r w:rsidRPr="003D6C45">
        <w:rPr>
          <w:lang w:val="kk-KZ"/>
        </w:rPr>
        <w:t xml:space="preserve">3) Тапсырыс берушінің жеке шотын жүргізу </w:t>
      </w:r>
      <w:r>
        <w:rPr>
          <w:lang w:val="kk-KZ"/>
        </w:rPr>
        <w:t xml:space="preserve">– </w:t>
      </w:r>
      <w:r w:rsidRPr="003D6C45">
        <w:rPr>
          <w:lang w:val="kk-KZ"/>
        </w:rPr>
        <w:t>тегін;</w:t>
      </w:r>
    </w:p>
    <w:p w:rsidR="00514427" w:rsidRPr="003D6C45" w:rsidRDefault="00514427" w:rsidP="00514427">
      <w:pPr>
        <w:pStyle w:val="a4"/>
        <w:ind w:left="644" w:hanging="360"/>
        <w:jc w:val="both"/>
        <w:rPr>
          <w:lang w:val="kk-KZ"/>
        </w:rPr>
      </w:pPr>
      <w:r w:rsidRPr="003D6C45">
        <w:rPr>
          <w:lang w:val="kk-KZ"/>
        </w:rPr>
        <w:t>4) Тапсырыс берушінің жеке кабинетін ашу/жабу, Тапсырыс беруші туралы ақпаратты өзгерту – тегін;</w:t>
      </w:r>
    </w:p>
    <w:p w:rsidR="00514427" w:rsidRPr="00514427" w:rsidRDefault="00514427" w:rsidP="00514427">
      <w:pPr>
        <w:pStyle w:val="a4"/>
        <w:ind w:left="644" w:hanging="360"/>
        <w:jc w:val="both"/>
        <w:rPr>
          <w:lang w:val="kk-KZ"/>
        </w:rPr>
      </w:pPr>
      <w:r w:rsidRPr="00514427">
        <w:rPr>
          <w:lang w:val="kk-KZ"/>
        </w:rPr>
        <w:t>5) KASE ұйымдасқан нарығында қаржы құралдарын сатып алу/сату бойынша брокерлік қызметтерді көрсеткені үшін комиссиялардың мөлшері – мәміле сомасының 0,005%-ынан аспайды (кемінде 1000 теңге, ең көбі 100 АЕК);</w:t>
      </w:r>
    </w:p>
    <w:p w:rsidR="00514427" w:rsidRPr="00514427" w:rsidRDefault="00514427" w:rsidP="00514427">
      <w:pPr>
        <w:pStyle w:val="a4"/>
        <w:ind w:left="644" w:hanging="360"/>
        <w:jc w:val="both"/>
        <w:rPr>
          <w:lang w:val="kk-KZ"/>
        </w:rPr>
      </w:pPr>
      <w:r w:rsidRPr="00514427">
        <w:rPr>
          <w:lang w:val="kk-KZ"/>
        </w:rPr>
        <w:t>6) AIX нарығында қаржы құралдарын сатып алу/сату бойынша брокерлік қызметтерді көрсеткені үшін комиссиялардың мөлшері – мәміле сомасының 0,005%-ынан аспайды (тапсырыст</w:t>
      </w:r>
      <w:r>
        <w:rPr>
          <w:lang w:val="kk-KZ"/>
        </w:rPr>
        <w:t>ан</w:t>
      </w:r>
      <w:r w:rsidRPr="00514427">
        <w:rPr>
          <w:lang w:val="kk-KZ"/>
        </w:rPr>
        <w:t xml:space="preserve"> кемінде 3 500 теңге);</w:t>
      </w:r>
    </w:p>
    <w:p w:rsidR="00514427" w:rsidRPr="00514427" w:rsidRDefault="00514427" w:rsidP="00514427">
      <w:pPr>
        <w:pStyle w:val="a4"/>
        <w:ind w:left="644" w:hanging="360"/>
        <w:jc w:val="both"/>
        <w:rPr>
          <w:lang w:val="kk-KZ"/>
        </w:rPr>
      </w:pPr>
      <w:r w:rsidRPr="00514427">
        <w:rPr>
          <w:lang w:val="kk-KZ"/>
        </w:rPr>
        <w:t>7) халықаралық нарықтарда қаржы құралдарын сатып алу/сату бойынша брокерлік қызметтерді көрсеткені үшін комиссиялардың мөлшері – мәміле сомасының 0,03%-ынан аспайды (кемінде 3 500 теңге, ең көбі 100 АЕК);</w:t>
      </w:r>
    </w:p>
    <w:p w:rsidR="00514427" w:rsidRPr="00514427" w:rsidRDefault="00514427" w:rsidP="00514427">
      <w:pPr>
        <w:pStyle w:val="a4"/>
        <w:ind w:left="644" w:hanging="360"/>
        <w:jc w:val="both"/>
        <w:rPr>
          <w:lang w:val="kk-KZ"/>
        </w:rPr>
      </w:pPr>
      <w:r w:rsidRPr="00514427">
        <w:rPr>
          <w:lang w:val="kk-KZ"/>
        </w:rPr>
        <w:t>8) ақша қаражатын тарту/орналастыру (</w:t>
      </w:r>
      <w:r>
        <w:rPr>
          <w:lang w:val="kk-KZ"/>
        </w:rPr>
        <w:t>биржа</w:t>
      </w:r>
      <w:r w:rsidRPr="00514427">
        <w:rPr>
          <w:lang w:val="kk-KZ"/>
        </w:rPr>
        <w:t xml:space="preserve"> тарифін қоспағанда) – кіріс сомасының 0,003% (кемінде 1 АЕК);</w:t>
      </w:r>
    </w:p>
    <w:p w:rsidR="00514427" w:rsidRPr="00514427" w:rsidRDefault="00514427" w:rsidP="00514427">
      <w:pPr>
        <w:pStyle w:val="a4"/>
        <w:ind w:left="644" w:hanging="360"/>
        <w:jc w:val="both"/>
        <w:rPr>
          <w:lang w:val="kk-KZ"/>
        </w:rPr>
      </w:pPr>
      <w:r w:rsidRPr="00514427">
        <w:rPr>
          <w:lang w:val="kk-KZ"/>
        </w:rPr>
        <w:t xml:space="preserve">9) бағалы қағаздарды </w:t>
      </w:r>
      <w:r>
        <w:rPr>
          <w:lang w:val="kk-KZ"/>
        </w:rPr>
        <w:t>есепке алу -</w:t>
      </w:r>
      <w:r w:rsidRPr="00514427">
        <w:rPr>
          <w:lang w:val="kk-KZ"/>
        </w:rPr>
        <w:t xml:space="preserve"> тегін;</w:t>
      </w:r>
    </w:p>
    <w:p w:rsidR="00514427" w:rsidRPr="00514427" w:rsidRDefault="00514427" w:rsidP="00514427">
      <w:pPr>
        <w:pStyle w:val="a4"/>
        <w:ind w:left="644" w:hanging="360"/>
        <w:jc w:val="both"/>
        <w:rPr>
          <w:lang w:val="kk-KZ"/>
        </w:rPr>
      </w:pPr>
      <w:r w:rsidRPr="00514427">
        <w:rPr>
          <w:lang w:val="kk-KZ"/>
        </w:rPr>
        <w:t>10) бағалы қағаздарды есептен шығару – 2 АЕК-тен аспайды;</w:t>
      </w:r>
    </w:p>
    <w:p w:rsidR="00514427" w:rsidRPr="00514427" w:rsidRDefault="00514427" w:rsidP="00514427">
      <w:pPr>
        <w:pStyle w:val="a4"/>
        <w:ind w:left="644" w:hanging="360"/>
        <w:jc w:val="both"/>
        <w:rPr>
          <w:lang w:val="kk-KZ"/>
        </w:rPr>
      </w:pPr>
      <w:r w:rsidRPr="00514427">
        <w:rPr>
          <w:lang w:val="kk-KZ"/>
        </w:rPr>
        <w:t xml:space="preserve">11) клиенттің </w:t>
      </w:r>
      <w:r>
        <w:rPr>
          <w:lang w:val="kk-KZ"/>
        </w:rPr>
        <w:t>тапсырмасы бойынша</w:t>
      </w:r>
      <w:r w:rsidRPr="00514427">
        <w:rPr>
          <w:lang w:val="kk-KZ"/>
        </w:rPr>
        <w:t xml:space="preserve"> сағат 15.00-ге дейін ұлттық валюта бойынша ақшаны есептен шығару – 300 теңгеден аспайды; басқа шетел валютасы 1 АЕК-тен аспайды;</w:t>
      </w:r>
    </w:p>
    <w:p w:rsidR="00514427" w:rsidRPr="00514427" w:rsidRDefault="00514427" w:rsidP="00514427">
      <w:pPr>
        <w:pStyle w:val="a4"/>
        <w:ind w:left="644" w:hanging="360"/>
        <w:jc w:val="both"/>
        <w:rPr>
          <w:lang w:val="kk-KZ"/>
        </w:rPr>
      </w:pPr>
      <w:r w:rsidRPr="00514427">
        <w:rPr>
          <w:lang w:val="kk-KZ"/>
        </w:rPr>
        <w:t>12) ақша қаражатын айырбастау – айырбастау сомасының 0,005%-ынан аспайды (кемінде 1 АЕК, ең көбі 75 АЕК);</w:t>
      </w:r>
    </w:p>
    <w:p w:rsidR="00514427" w:rsidRPr="00514427" w:rsidRDefault="00514427" w:rsidP="00514427">
      <w:pPr>
        <w:pStyle w:val="a4"/>
        <w:ind w:left="644" w:hanging="360"/>
        <w:jc w:val="both"/>
        <w:rPr>
          <w:lang w:val="kk-KZ"/>
        </w:rPr>
      </w:pPr>
      <w:r w:rsidRPr="00514427">
        <w:rPr>
          <w:lang w:val="kk-KZ"/>
        </w:rPr>
        <w:t xml:space="preserve">13) «Орталық бағалы қағаздар депозитарийі» АҚ, «Қазақстан қор биржасы» АҚ комиссиялық сыйақыларын, </w:t>
      </w:r>
      <w:r>
        <w:rPr>
          <w:lang w:val="kk-KZ"/>
        </w:rPr>
        <w:t>К</w:t>
      </w:r>
      <w:r w:rsidRPr="00514427">
        <w:rPr>
          <w:lang w:val="kk-KZ"/>
        </w:rPr>
        <w:t>астодиандардың комиссияларын брокер Тапсырыс берушіге қайта есептейді және Тапсырыс беруші толық көлемде төлейді.</w:t>
      </w:r>
    </w:p>
    <w:p w:rsidR="00514427" w:rsidRPr="00514427" w:rsidRDefault="00514427" w:rsidP="00514427">
      <w:pPr>
        <w:pStyle w:val="a4"/>
        <w:ind w:left="644"/>
        <w:jc w:val="both"/>
        <w:rPr>
          <w:lang w:val="kk-KZ"/>
        </w:rPr>
      </w:pPr>
    </w:p>
    <w:p w:rsidR="00514427" w:rsidRPr="00514427" w:rsidRDefault="00514427" w:rsidP="00514427">
      <w:pPr>
        <w:ind w:left="284" w:right="50" w:firstLine="425"/>
        <w:rPr>
          <w:color w:val="000000"/>
          <w:lang w:val="kk-KZ"/>
        </w:rPr>
      </w:pPr>
      <w:r w:rsidRPr="00514427">
        <w:rPr>
          <w:color w:val="000000"/>
          <w:lang w:val="kk-KZ"/>
        </w:rPr>
        <w:t>Тарифтер шарт мерзімі аяқталғанға дейін жарамды.</w:t>
      </w:r>
    </w:p>
    <w:p w:rsidR="00514427" w:rsidRPr="00514427" w:rsidRDefault="00514427" w:rsidP="00514427">
      <w:pPr>
        <w:ind w:left="284" w:right="50" w:firstLine="425"/>
        <w:jc w:val="both"/>
        <w:rPr>
          <w:color w:val="000000"/>
          <w:lang w:val="kk-KZ"/>
        </w:rPr>
      </w:pPr>
      <w:r w:rsidRPr="00514427">
        <w:rPr>
          <w:color w:val="000000"/>
          <w:lang w:val="kk-KZ"/>
        </w:rPr>
        <w:lastRenderedPageBreak/>
        <w:t>Көрсетілмеген, бірақ Брокердің клиентке қызмет көрсетуіне байланысты тарифтер болған жағдайда, олар Брокердің бекітілген ішкі құжаттарына сәйкес жеткізу кезінде төленеді.</w:t>
      </w:r>
    </w:p>
    <w:p w:rsidR="00514427" w:rsidRPr="00514427" w:rsidRDefault="00514427" w:rsidP="00514427">
      <w:pPr>
        <w:ind w:left="284" w:right="50" w:firstLine="425"/>
        <w:rPr>
          <w:color w:val="000000"/>
          <w:lang w:val="kk-KZ"/>
        </w:rPr>
      </w:pPr>
    </w:p>
    <w:p w:rsidR="00514427" w:rsidRPr="00514427" w:rsidRDefault="00514427" w:rsidP="00514427">
      <w:pPr>
        <w:spacing w:after="277"/>
        <w:ind w:left="284" w:right="50"/>
        <w:rPr>
          <w:b/>
          <w:color w:val="000000"/>
          <w:lang w:val="kk-KZ"/>
        </w:rPr>
      </w:pPr>
    </w:p>
    <w:p w:rsidR="00514427" w:rsidRPr="00514427" w:rsidRDefault="00514427" w:rsidP="00514427">
      <w:pPr>
        <w:pStyle w:val="a4"/>
        <w:tabs>
          <w:tab w:val="left" w:pos="851"/>
        </w:tabs>
        <w:ind w:left="644"/>
        <w:jc w:val="both"/>
        <w:rPr>
          <w:lang w:val="kk-KZ"/>
        </w:rPr>
      </w:pPr>
    </w:p>
    <w:p w:rsidR="00514427" w:rsidRPr="00514427" w:rsidRDefault="00514427" w:rsidP="002E2987">
      <w:pPr>
        <w:pStyle w:val="a4"/>
        <w:tabs>
          <w:tab w:val="left" w:pos="851"/>
        </w:tabs>
        <w:ind w:left="644"/>
        <w:jc w:val="both"/>
        <w:rPr>
          <w:lang w:val="kk-KZ"/>
        </w:rPr>
      </w:pPr>
    </w:p>
    <w:sectPr w:rsidR="00514427" w:rsidRPr="00514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7B58"/>
    <w:multiLevelType w:val="hybridMultilevel"/>
    <w:tmpl w:val="12827BF2"/>
    <w:lvl w:ilvl="0" w:tplc="88DE1014">
      <w:start w:val="4"/>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nsid w:val="1F0D72CD"/>
    <w:multiLevelType w:val="hybridMultilevel"/>
    <w:tmpl w:val="CAD4B718"/>
    <w:lvl w:ilvl="0" w:tplc="8B0A7686">
      <w:start w:val="1"/>
      <w:numFmt w:val="bullet"/>
      <w:lvlText w:val="•"/>
      <w:lvlJc w:val="left"/>
      <w:pPr>
        <w:ind w:left="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0EC4F2C">
      <w:start w:val="1"/>
      <w:numFmt w:val="bullet"/>
      <w:lvlText w:val="o"/>
      <w:lvlJc w:val="left"/>
      <w:pPr>
        <w:ind w:left="12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CBCAAD64">
      <w:start w:val="1"/>
      <w:numFmt w:val="bullet"/>
      <w:lvlText w:val="▪"/>
      <w:lvlJc w:val="left"/>
      <w:pPr>
        <w:ind w:left="19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66483BE">
      <w:start w:val="1"/>
      <w:numFmt w:val="bullet"/>
      <w:lvlText w:val="•"/>
      <w:lvlJc w:val="left"/>
      <w:pPr>
        <w:ind w:left="26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2F4083A">
      <w:start w:val="1"/>
      <w:numFmt w:val="bullet"/>
      <w:lvlText w:val="o"/>
      <w:lvlJc w:val="left"/>
      <w:pPr>
        <w:ind w:left="34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C4BD74">
      <w:start w:val="1"/>
      <w:numFmt w:val="bullet"/>
      <w:lvlText w:val="▪"/>
      <w:lvlJc w:val="left"/>
      <w:pPr>
        <w:ind w:left="41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51A4470">
      <w:start w:val="1"/>
      <w:numFmt w:val="bullet"/>
      <w:lvlText w:val="•"/>
      <w:lvlJc w:val="left"/>
      <w:pPr>
        <w:ind w:left="48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E7369B88">
      <w:start w:val="1"/>
      <w:numFmt w:val="bullet"/>
      <w:lvlText w:val="o"/>
      <w:lvlJc w:val="left"/>
      <w:pPr>
        <w:ind w:left="55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D162794">
      <w:start w:val="1"/>
      <w:numFmt w:val="bullet"/>
      <w:lvlText w:val="▪"/>
      <w:lvlJc w:val="left"/>
      <w:pPr>
        <w:ind w:left="62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
    <w:nsid w:val="20B156E5"/>
    <w:multiLevelType w:val="hybridMultilevel"/>
    <w:tmpl w:val="B3F686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E8278A"/>
    <w:multiLevelType w:val="hybridMultilevel"/>
    <w:tmpl w:val="79646F20"/>
    <w:lvl w:ilvl="0" w:tplc="3F6A3FF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nsid w:val="49D945BA"/>
    <w:multiLevelType w:val="hybridMultilevel"/>
    <w:tmpl w:val="1C7AC434"/>
    <w:lvl w:ilvl="0" w:tplc="61D6CB9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nsid w:val="568B6975"/>
    <w:multiLevelType w:val="hybridMultilevel"/>
    <w:tmpl w:val="4A38C82C"/>
    <w:lvl w:ilvl="0" w:tplc="F8A694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FBC3512"/>
    <w:multiLevelType w:val="hybridMultilevel"/>
    <w:tmpl w:val="8B5A78A4"/>
    <w:lvl w:ilvl="0" w:tplc="E7EA782C">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nsid w:val="7FCF7D5A"/>
    <w:multiLevelType w:val="hybridMultilevel"/>
    <w:tmpl w:val="5EA2F65E"/>
    <w:lvl w:ilvl="0" w:tplc="CC602492">
      <w:start w:val="1"/>
      <w:numFmt w:val="decimal"/>
      <w:lvlText w:val="%1)"/>
      <w:lvlJc w:val="left"/>
      <w:pPr>
        <w:ind w:left="539" w:hanging="360"/>
      </w:pPr>
      <w:rPr>
        <w:rFonts w:hint="default"/>
      </w:rPr>
    </w:lvl>
    <w:lvl w:ilvl="1" w:tplc="20000019" w:tentative="1">
      <w:start w:val="1"/>
      <w:numFmt w:val="lowerLetter"/>
      <w:lvlText w:val="%2."/>
      <w:lvlJc w:val="left"/>
      <w:pPr>
        <w:ind w:left="1259" w:hanging="360"/>
      </w:pPr>
    </w:lvl>
    <w:lvl w:ilvl="2" w:tplc="2000001B" w:tentative="1">
      <w:start w:val="1"/>
      <w:numFmt w:val="lowerRoman"/>
      <w:lvlText w:val="%3."/>
      <w:lvlJc w:val="right"/>
      <w:pPr>
        <w:ind w:left="1979" w:hanging="180"/>
      </w:pPr>
    </w:lvl>
    <w:lvl w:ilvl="3" w:tplc="2000000F" w:tentative="1">
      <w:start w:val="1"/>
      <w:numFmt w:val="decimal"/>
      <w:lvlText w:val="%4."/>
      <w:lvlJc w:val="left"/>
      <w:pPr>
        <w:ind w:left="2699" w:hanging="360"/>
      </w:pPr>
    </w:lvl>
    <w:lvl w:ilvl="4" w:tplc="20000019" w:tentative="1">
      <w:start w:val="1"/>
      <w:numFmt w:val="lowerLetter"/>
      <w:lvlText w:val="%5."/>
      <w:lvlJc w:val="left"/>
      <w:pPr>
        <w:ind w:left="3419" w:hanging="360"/>
      </w:pPr>
    </w:lvl>
    <w:lvl w:ilvl="5" w:tplc="2000001B" w:tentative="1">
      <w:start w:val="1"/>
      <w:numFmt w:val="lowerRoman"/>
      <w:lvlText w:val="%6."/>
      <w:lvlJc w:val="right"/>
      <w:pPr>
        <w:ind w:left="4139" w:hanging="180"/>
      </w:pPr>
    </w:lvl>
    <w:lvl w:ilvl="6" w:tplc="2000000F" w:tentative="1">
      <w:start w:val="1"/>
      <w:numFmt w:val="decimal"/>
      <w:lvlText w:val="%7."/>
      <w:lvlJc w:val="left"/>
      <w:pPr>
        <w:ind w:left="4859" w:hanging="360"/>
      </w:pPr>
    </w:lvl>
    <w:lvl w:ilvl="7" w:tplc="20000019" w:tentative="1">
      <w:start w:val="1"/>
      <w:numFmt w:val="lowerLetter"/>
      <w:lvlText w:val="%8."/>
      <w:lvlJc w:val="left"/>
      <w:pPr>
        <w:ind w:left="5579" w:hanging="360"/>
      </w:pPr>
    </w:lvl>
    <w:lvl w:ilvl="8" w:tplc="2000001B" w:tentative="1">
      <w:start w:val="1"/>
      <w:numFmt w:val="lowerRoman"/>
      <w:lvlText w:val="%9."/>
      <w:lvlJc w:val="right"/>
      <w:pPr>
        <w:ind w:left="6299" w:hanging="180"/>
      </w:pPr>
    </w:lvl>
  </w:abstractNum>
  <w:num w:numId="1">
    <w:abstractNumId w:val="2"/>
  </w:num>
  <w:num w:numId="2">
    <w:abstractNumId w:val="7"/>
  </w:num>
  <w:num w:numId="3">
    <w:abstractNumId w:val="6"/>
  </w:num>
  <w:num w:numId="4">
    <w:abstractNumId w:val="5"/>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1C"/>
    <w:rsid w:val="000030D3"/>
    <w:rsid w:val="00017D61"/>
    <w:rsid w:val="00046AB3"/>
    <w:rsid w:val="000C0D1C"/>
    <w:rsid w:val="000F04C5"/>
    <w:rsid w:val="0010487F"/>
    <w:rsid w:val="00125E71"/>
    <w:rsid w:val="00181AF8"/>
    <w:rsid w:val="0021391A"/>
    <w:rsid w:val="00263AF3"/>
    <w:rsid w:val="00290888"/>
    <w:rsid w:val="002E2987"/>
    <w:rsid w:val="002F05D1"/>
    <w:rsid w:val="003A1C7E"/>
    <w:rsid w:val="003C6DE1"/>
    <w:rsid w:val="00402A88"/>
    <w:rsid w:val="004F6322"/>
    <w:rsid w:val="00506DE7"/>
    <w:rsid w:val="00514427"/>
    <w:rsid w:val="00562037"/>
    <w:rsid w:val="005C639D"/>
    <w:rsid w:val="0069182A"/>
    <w:rsid w:val="00710F65"/>
    <w:rsid w:val="00735D58"/>
    <w:rsid w:val="007364E3"/>
    <w:rsid w:val="007B28C8"/>
    <w:rsid w:val="008D5445"/>
    <w:rsid w:val="00931BF0"/>
    <w:rsid w:val="009B7E5D"/>
    <w:rsid w:val="009C4223"/>
    <w:rsid w:val="009C5683"/>
    <w:rsid w:val="00C20793"/>
    <w:rsid w:val="00CA767B"/>
    <w:rsid w:val="00E743AD"/>
    <w:rsid w:val="00E8262D"/>
    <w:rsid w:val="00ED372F"/>
    <w:rsid w:val="00E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0C0D1C"/>
    <w:pPr>
      <w:widowControl w:val="0"/>
      <w:autoSpaceDE w:val="0"/>
      <w:autoSpaceDN w:val="0"/>
      <w:adjustRightInd w:val="0"/>
      <w:spacing w:line="266" w:lineRule="atLeast"/>
    </w:pPr>
    <w:rPr>
      <w:rFonts w:ascii="Arial" w:hAnsi="Arial" w:cs="Arial"/>
    </w:rPr>
  </w:style>
  <w:style w:type="paragraph" w:styleId="a4">
    <w:name w:val="List Paragraph"/>
    <w:basedOn w:val="a"/>
    <w:uiPriority w:val="34"/>
    <w:qFormat/>
    <w:rsid w:val="0021391A"/>
    <w:pPr>
      <w:ind w:left="720"/>
      <w:contextualSpacing/>
    </w:pPr>
  </w:style>
  <w:style w:type="character" w:customStyle="1" w:styleId="2">
    <w:name w:val="Основной текст (2)"/>
    <w:basedOn w:val="a0"/>
    <w:rsid w:val="000030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5">
    <w:name w:val="Intense Emphasis"/>
    <w:basedOn w:val="a0"/>
    <w:uiPriority w:val="21"/>
    <w:qFormat/>
    <w:rsid w:val="00263AF3"/>
    <w:rPr>
      <w:i/>
      <w:iCs/>
      <w:color w:val="4472C4" w:themeColor="accent1"/>
    </w:rPr>
  </w:style>
  <w:style w:type="paragraph" w:styleId="a6">
    <w:name w:val="Balloon Text"/>
    <w:basedOn w:val="a"/>
    <w:link w:val="a7"/>
    <w:uiPriority w:val="99"/>
    <w:semiHidden/>
    <w:unhideWhenUsed/>
    <w:rsid w:val="00EF650D"/>
    <w:rPr>
      <w:rFonts w:ascii="Tahoma" w:hAnsi="Tahoma" w:cs="Tahoma"/>
      <w:sz w:val="16"/>
      <w:szCs w:val="16"/>
    </w:rPr>
  </w:style>
  <w:style w:type="character" w:customStyle="1" w:styleId="a7">
    <w:name w:val="Текст выноски Знак"/>
    <w:basedOn w:val="a0"/>
    <w:link w:val="a6"/>
    <w:uiPriority w:val="99"/>
    <w:semiHidden/>
    <w:rsid w:val="00EF65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0C0D1C"/>
    <w:pPr>
      <w:widowControl w:val="0"/>
      <w:autoSpaceDE w:val="0"/>
      <w:autoSpaceDN w:val="0"/>
      <w:adjustRightInd w:val="0"/>
      <w:spacing w:line="266" w:lineRule="atLeast"/>
    </w:pPr>
    <w:rPr>
      <w:rFonts w:ascii="Arial" w:hAnsi="Arial" w:cs="Arial"/>
    </w:rPr>
  </w:style>
  <w:style w:type="paragraph" w:styleId="a4">
    <w:name w:val="List Paragraph"/>
    <w:basedOn w:val="a"/>
    <w:uiPriority w:val="34"/>
    <w:qFormat/>
    <w:rsid w:val="0021391A"/>
    <w:pPr>
      <w:ind w:left="720"/>
      <w:contextualSpacing/>
    </w:pPr>
  </w:style>
  <w:style w:type="character" w:customStyle="1" w:styleId="2">
    <w:name w:val="Основной текст (2)"/>
    <w:basedOn w:val="a0"/>
    <w:rsid w:val="000030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5">
    <w:name w:val="Intense Emphasis"/>
    <w:basedOn w:val="a0"/>
    <w:uiPriority w:val="21"/>
    <w:qFormat/>
    <w:rsid w:val="00263AF3"/>
    <w:rPr>
      <w:i/>
      <w:iCs/>
      <w:color w:val="4472C4" w:themeColor="accent1"/>
    </w:rPr>
  </w:style>
  <w:style w:type="paragraph" w:styleId="a6">
    <w:name w:val="Balloon Text"/>
    <w:basedOn w:val="a"/>
    <w:link w:val="a7"/>
    <w:uiPriority w:val="99"/>
    <w:semiHidden/>
    <w:unhideWhenUsed/>
    <w:rsid w:val="00EF650D"/>
    <w:rPr>
      <w:rFonts w:ascii="Tahoma" w:hAnsi="Tahoma" w:cs="Tahoma"/>
      <w:sz w:val="16"/>
      <w:szCs w:val="16"/>
    </w:rPr>
  </w:style>
  <w:style w:type="character" w:customStyle="1" w:styleId="a7">
    <w:name w:val="Текст выноски Знак"/>
    <w:basedOn w:val="a0"/>
    <w:link w:val="a6"/>
    <w:uiPriority w:val="99"/>
    <w:semiHidden/>
    <w:rsid w:val="00EF65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ED5FBBF21B1A14892E9D01264BD99FA" ma:contentTypeVersion="0" ma:contentTypeDescription="Создание документа." ma:contentTypeScope="" ma:versionID="0a0b5c587caef613a5b6408ae9c7604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0D25D-9FF4-4C39-B1B3-50D4E745E731}">
  <ds:schemaRefs>
    <ds:schemaRef ds:uri="http://schemas.microsoft.com/sharepoint/v3/contenttype/forms"/>
  </ds:schemaRefs>
</ds:datastoreItem>
</file>

<file path=customXml/itemProps2.xml><?xml version="1.0" encoding="utf-8"?>
<ds:datastoreItem xmlns:ds="http://schemas.openxmlformats.org/officeDocument/2006/customXml" ds:itemID="{7F441004-4180-4C11-A786-97371B2AE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48A9AF-9081-4B3A-A65F-748EB05D05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Т.Свагузов</dc:creator>
  <cp:lastModifiedBy>Султанбек Аубакиров</cp:lastModifiedBy>
  <cp:revision>2</cp:revision>
  <dcterms:created xsi:type="dcterms:W3CDTF">2024-10-17T11:05:00Z</dcterms:created>
  <dcterms:modified xsi:type="dcterms:W3CDTF">2024-10-17T11:05:00Z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0x0101000ED5FBBF21B1A14892E9D01264BD99FA</vt:lpwstr>
  </property>
</Properties>
</file>