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EC" w:rsidRDefault="00F24BEC" w:rsidP="00F24BEC">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24BEC">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16AD3" w:rsidRPr="00D16AD3" w:rsidRDefault="00D16AD3" w:rsidP="00FE43C6">
      <w:pPr>
        <w:spacing w:after="0" w:line="240" w:lineRule="auto"/>
        <w:ind w:firstLine="39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Конкурстың атауы: </w:t>
      </w:r>
      <w:r w:rsidRPr="00D16AD3">
        <w:rPr>
          <w:rFonts w:ascii="Times New Roman" w:hAnsi="Times New Roman" w:cs="Times New Roman"/>
          <w:sz w:val="28"/>
          <w:szCs w:val="28"/>
          <w:u w:val="single"/>
          <w:lang w:val="kk-KZ"/>
        </w:rPr>
        <w:t>Жеделдетілген/курьерлік пошталық байланыс бойынша қызметтер</w:t>
      </w:r>
      <w:r w:rsidRPr="00D16AD3">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DA2D54"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bookmarkStart w:id="0" w:name="_GoBack"/>
            <w:bookmarkEnd w:id="0"/>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pacing w:after="0" w:line="240" w:lineRule="auto"/>
              <w:ind w:firstLine="397"/>
              <w:jc w:val="both"/>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E91248" w:rsidRPr="00E43AB7" w:rsidRDefault="00E91248" w:rsidP="00FF73A5">
            <w:pPr>
              <w:spacing w:after="0" w:line="240" w:lineRule="auto"/>
              <w:rPr>
                <w:rFonts w:ascii="Times New Roman" w:eastAsia="Times New Roman" w:hAnsi="Times New Roman" w:cs="Times New Roman"/>
                <w:sz w:val="28"/>
                <w:szCs w:val="28"/>
                <w:lang w:eastAsia="ru-RU"/>
              </w:rPr>
            </w:pPr>
          </w:p>
        </w:tc>
      </w:tr>
      <w:tr w:rsidR="00E91248" w:rsidRPr="00FE43C6" w:rsidTr="00CB6BA8">
        <w:tc>
          <w:tcPr>
            <w:tcW w:w="4403" w:type="dxa"/>
            <w:tcMar>
              <w:top w:w="105" w:type="dxa"/>
              <w:left w:w="150" w:type="dxa"/>
              <w:bottom w:w="105" w:type="dxa"/>
              <w:right w:w="150" w:type="dxa"/>
            </w:tcMar>
            <w:hideMark/>
          </w:tcPr>
          <w:p w:rsidR="00E91248" w:rsidRPr="00E91248" w:rsidRDefault="00E91248" w:rsidP="00CB6BA8">
            <w:pPr>
              <w:spacing w:after="0" w:line="240" w:lineRule="auto"/>
              <w:textAlignment w:val="baseline"/>
              <w:rPr>
                <w:rFonts w:ascii="Times New Roman" w:hAnsi="Times New Roman" w:cs="Times New Roman"/>
                <w:sz w:val="28"/>
                <w:szCs w:val="28"/>
              </w:rPr>
            </w:pPr>
            <w:proofErr w:type="spellStart"/>
            <w:r w:rsidRPr="00E91248">
              <w:rPr>
                <w:rFonts w:ascii="Times New Roman" w:hAnsi="Times New Roman" w:cs="Times New Roman"/>
                <w:sz w:val="28"/>
                <w:szCs w:val="28"/>
              </w:rPr>
              <w:t>Қызметтерді</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көрсету</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мерзі</w:t>
            </w:r>
            <w:proofErr w:type="gramStart"/>
            <w:r w:rsidRPr="00E91248">
              <w:rPr>
                <w:rFonts w:ascii="Times New Roman" w:hAnsi="Times New Roman" w:cs="Times New Roman"/>
                <w:sz w:val="28"/>
                <w:szCs w:val="28"/>
              </w:rPr>
              <w:t>м</w:t>
            </w:r>
            <w:proofErr w:type="gramEnd"/>
            <w:r w:rsidRPr="00E91248">
              <w:rPr>
                <w:rFonts w:ascii="Times New Roman" w:hAnsi="Times New Roman" w:cs="Times New Roman"/>
                <w:sz w:val="28"/>
                <w:szCs w:val="28"/>
              </w:rPr>
              <w:t>і</w:t>
            </w:r>
            <w:proofErr w:type="spellEnd"/>
            <w:r w:rsidRPr="00E91248">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FE43C6" w:rsidRDefault="00E91248" w:rsidP="00CB6BA8">
            <w:pPr>
              <w:spacing w:after="0" w:line="240" w:lineRule="auto"/>
              <w:rPr>
                <w:rFonts w:ascii="Times New Roman" w:eastAsia="Times New Roman" w:hAnsi="Times New Roman" w:cs="Times New Roman"/>
                <w:sz w:val="28"/>
                <w:szCs w:val="28"/>
                <w:lang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E91248" w:rsidRPr="00DA2D54"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w:t>
            </w:r>
            <w:r w:rsidRPr="00FE43C6">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Орындаушының жұмыскерлері </w:t>
            </w:r>
            <w:r w:rsidRPr="00FE43C6">
              <w:rPr>
                <w:rFonts w:ascii="Times New Roman" w:eastAsiaTheme="minorEastAsia" w:hAnsi="Times New Roman" w:cs="Times New Roman"/>
                <w:sz w:val="28"/>
                <w:szCs w:val="28"/>
                <w:lang w:val="kk-KZ" w:eastAsia="ru-RU"/>
              </w:rPr>
              <w:lastRenderedPageBreak/>
              <w:t>(өкілдері) – курьерлер және курьер-жүргізушілер.</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Хат алушы-алушы немесе алушының өкілі.</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E1 нысаны-жөнелтуші толтыратын ілеспе жүкқұжат.</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bCs/>
                <w:iCs/>
                <w:sz w:val="28"/>
                <w:szCs w:val="28"/>
                <w:lang w:val="kk-KZ" w:eastAsia="ru-RU"/>
              </w:rPr>
              <w:t>6)</w:t>
            </w:r>
            <w:r w:rsidRPr="00FE43C6">
              <w:rPr>
                <w:rFonts w:ascii="Times New Roman" w:eastAsiaTheme="minorEastAsia" w:hAnsi="Times New Roman" w:cs="Times New Roman"/>
                <w:lang w:val="kk-KZ" w:eastAsia="ru-RU"/>
              </w:rPr>
              <w:t xml:space="preserve"> </w:t>
            </w:r>
            <w:r w:rsidRPr="00FE43C6">
              <w:rPr>
                <w:rFonts w:ascii="Times New Roman" w:eastAsiaTheme="minorEastAsia" w:hAnsi="Times New Roman" w:cs="Times New Roman"/>
                <w:sz w:val="28"/>
                <w:szCs w:val="28"/>
                <w:lang w:val="kk-KZ" w:eastAsia="ru-RU"/>
              </w:rPr>
              <w:t xml:space="preserve">жедел және өте тығыз мерзімді </w:t>
            </w:r>
            <w:r w:rsidRPr="00FE43C6">
              <w:rPr>
                <w:rFonts w:ascii="Times New Roman" w:eastAsiaTheme="minorEastAsia" w:hAnsi="Times New Roman" w:cs="Times New Roman"/>
                <w:sz w:val="28"/>
                <w:szCs w:val="28"/>
                <w:lang w:val="kk-KZ" w:eastAsia="ru-RU"/>
              </w:rPr>
              <w:lastRenderedPageBreak/>
              <w:t>жөнелтімдерді – күннің бірінші жартысында жеткізу, жөнелтімдерді алғаннан кейінгі келесі күні, өңірлерді қоса алғанда (мүмкіндігінше);</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E91248" w:rsidRPr="00FE43C6" w:rsidRDefault="00E91248" w:rsidP="00FE43C6">
            <w:pPr>
              <w:spacing w:line="240" w:lineRule="atLeast"/>
              <w:ind w:left="119"/>
              <w:contextualSpacing/>
              <w:jc w:val="both"/>
              <w:rPr>
                <w:rFonts w:ascii="Times New Roman" w:hAnsi="Times New Roman" w:cs="Times New Roman"/>
                <w:strike/>
                <w:color w:val="000000"/>
                <w:sz w:val="28"/>
                <w:szCs w:val="28"/>
                <w:highlight w:val="yellow"/>
                <w:lang w:val="kk-KZ"/>
              </w:rPr>
            </w:pPr>
            <w:r w:rsidRPr="00FE43C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FE43C6">
              <w:rPr>
                <w:rFonts w:ascii="Times New Roman" w:hAnsi="Times New Roman" w:cs="Times New Roman"/>
                <w:strike/>
                <w:color w:val="000000"/>
                <w:sz w:val="28"/>
                <w:szCs w:val="28"/>
                <w:highlight w:val="yellow"/>
                <w:lang w:val="kk-KZ"/>
              </w:rPr>
              <w:t xml:space="preserve"> </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11) өтінім бойынша курьердің тегін шығуы.</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 жіберілген хаттарды электрондық бақылау.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ала хабардар етуі тиіс.</w:t>
            </w:r>
          </w:p>
          <w:p w:rsidR="00807086" w:rsidRDefault="00E91248" w:rsidP="00FE43C6">
            <w:pPr>
              <w:spacing w:line="240" w:lineRule="atLeast"/>
              <w:ind w:left="119"/>
              <w:contextualSpacing/>
              <w:jc w:val="both"/>
              <w:rPr>
                <w:rFonts w:ascii="Times New Roman" w:eastAsiaTheme="minorEastAsia" w:hAnsi="Times New Roman" w:cs="Times New Roman"/>
                <w:b/>
                <w:sz w:val="28"/>
                <w:szCs w:val="28"/>
                <w:lang w:val="kk-KZ" w:eastAsia="ru-RU"/>
              </w:rPr>
            </w:pPr>
            <w:r w:rsidRPr="00FE43C6">
              <w:rPr>
                <w:rFonts w:ascii="Times New Roman" w:eastAsiaTheme="minorEastAsia" w:hAnsi="Times New Roman" w:cs="Times New Roman"/>
                <w:sz w:val="28"/>
                <w:szCs w:val="28"/>
                <w:lang w:val="kk-KZ" w:eastAsia="ru-RU"/>
              </w:rPr>
              <w:lastRenderedPageBreak/>
              <w:t>13.</w:t>
            </w:r>
            <w:r>
              <w:rPr>
                <w:rFonts w:ascii="Times New Roman" w:eastAsiaTheme="minorEastAsia" w:hAnsi="Times New Roman" w:cs="Times New Roman"/>
                <w:sz w:val="28"/>
                <w:szCs w:val="28"/>
                <w:lang w:val="kk-KZ" w:eastAsia="ru-RU"/>
              </w:rPr>
              <w:t xml:space="preserve"> Орындаушы жөнелтімдерді: </w:t>
            </w:r>
            <w:r w:rsidR="00807086" w:rsidRPr="00807086">
              <w:rPr>
                <w:rFonts w:ascii="Times New Roman" w:eastAsiaTheme="minorEastAsia" w:hAnsi="Times New Roman" w:cs="Times New Roman"/>
                <w:b/>
                <w:sz w:val="28"/>
                <w:szCs w:val="28"/>
                <w:lang w:val="kk-KZ" w:eastAsia="ru-RU"/>
              </w:rPr>
              <w:t>Қарағанды қ., Жауынгер-Интернационалистер, құрылыс 14В</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мекенжайы бойынша Тапсырыс берушінің офисінде күнделікті, телефон бойынша алдын ала өтінімдерге сай қабылдауы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19. Орындаушы айына 1 (бір) рет міндетті түрде барлық жөнелтімдер </w:t>
            </w:r>
            <w:r w:rsidRPr="00FE43C6">
              <w:rPr>
                <w:rFonts w:ascii="Times New Roman" w:eastAsiaTheme="minorEastAsia" w:hAnsi="Times New Roman" w:cs="Times New Roman"/>
                <w:sz w:val="28"/>
                <w:szCs w:val="28"/>
                <w:lang w:val="kk-KZ" w:eastAsia="ru-RU"/>
              </w:rPr>
              <w:lastRenderedPageBreak/>
              <w:t>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20. </w:t>
            </w:r>
            <w:r w:rsidRPr="00FE43C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23. Орындаушының:</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 </w:t>
            </w:r>
            <w:r w:rsidRPr="00A332C0">
              <w:rPr>
                <w:rFonts w:ascii="Times New Roman" w:hAnsi="Times New Roman" w:cs="Times New Roman"/>
                <w:color w:val="000000"/>
                <w:sz w:val="28"/>
                <w:szCs w:val="28"/>
                <w:lang w:val="kk-KZ"/>
              </w:rPr>
              <w:t>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қабылдау мен жеткізуді қамтамасыз ететін филиалдар</w:t>
            </w:r>
            <w:r w:rsidRPr="00FE43C6">
              <w:rPr>
                <w:rFonts w:ascii="Times New Roman" w:eastAsiaTheme="minorEastAsia" w:hAnsi="Times New Roman" w:cs="Times New Roman"/>
                <w:sz w:val="28"/>
                <w:szCs w:val="28"/>
                <w:lang w:val="kk-KZ" w:eastAsia="ru-RU"/>
              </w:rPr>
              <w:t>;</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 қызмет көрсетудің барлық кезеңдерінде (қабылдау, жолда, жеткізу, тапсыру және өзге де </w:t>
            </w:r>
            <w:r w:rsidRPr="00FE43C6">
              <w:rPr>
                <w:rFonts w:ascii="Times New Roman" w:eastAsiaTheme="minorEastAsia" w:hAnsi="Times New Roman" w:cs="Times New Roman"/>
                <w:sz w:val="28"/>
                <w:szCs w:val="28"/>
                <w:lang w:val="kk-KZ" w:eastAsia="ru-RU"/>
              </w:rPr>
              <w:lastRenderedPageBreak/>
              <w:t xml:space="preserve">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пароль арқылы жеке кабинетке қолжетімділік;</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тіркеу интерфейсі;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қадағалау интерфейсі және мәртебесі;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жеткізу туралы есептілік.</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курьерлік жүкқұжаттарды ресімдеу.</w:t>
            </w:r>
          </w:p>
          <w:p w:rsidR="00E91248" w:rsidRPr="00FE43C6" w:rsidRDefault="00E91248" w:rsidP="00FE43C6">
            <w:pPr>
              <w:spacing w:after="0" w:line="240" w:lineRule="auto"/>
              <w:contextualSpacing/>
              <w:rPr>
                <w:rFonts w:ascii="Times New Roman" w:eastAsia="Times New Roman"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E91248" w:rsidRPr="00DA2D54"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Pr="00476F5B" w:rsidRDefault="00DA2D54" w:rsidP="00DA2D54">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DA2D54" w:rsidRPr="00476F5B"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rsidR="00DA2D54" w:rsidRPr="00476F5B" w:rsidRDefault="00DA2D54" w:rsidP="005D2C09">
            <w:pPr>
              <w:rPr>
                <w:rFonts w:ascii="Times New Roman" w:eastAsiaTheme="minorEastAsia" w:hAnsi="Times New Roman" w:cs="Times New Roman"/>
                <w:b/>
                <w:lang w:val="kk-KZ" w:eastAsia="ru-RU"/>
              </w:rPr>
            </w:pPr>
          </w:p>
          <w:p w:rsidR="00DA2D54" w:rsidRPr="00476F5B" w:rsidRDefault="00DA2D54" w:rsidP="005D2C09">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DA2D54" w:rsidRPr="00476F5B" w:rsidRDefault="00DA2D54" w:rsidP="005D2C09">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rsidR="00DA2D54" w:rsidRPr="00476F5B" w:rsidRDefault="00DA2D54"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956" w:type="pct"/>
            <w:tcBorders>
              <w:top w:val="single" w:sz="4" w:space="0" w:color="auto"/>
              <w:left w:val="nil"/>
              <w:bottom w:val="single" w:sz="4" w:space="0" w:color="auto"/>
              <w:right w:val="single" w:sz="4" w:space="0" w:color="auto"/>
            </w:tcBorders>
            <w:vAlign w:val="center"/>
          </w:tcPr>
          <w:p w:rsidR="00DA2D54" w:rsidRPr="00476F5B" w:rsidRDefault="00DA2D54"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1413" w:type="pct"/>
            <w:tcBorders>
              <w:top w:val="single" w:sz="4" w:space="0" w:color="auto"/>
              <w:left w:val="nil"/>
              <w:bottom w:val="single" w:sz="4" w:space="0" w:color="auto"/>
              <w:right w:val="single" w:sz="4" w:space="0" w:color="auto"/>
            </w:tcBorders>
            <w:vAlign w:val="center"/>
          </w:tcPr>
          <w:p w:rsidR="00DA2D54" w:rsidRPr="00476F5B" w:rsidRDefault="00DA2D54" w:rsidP="005D2C09">
            <w:pPr>
              <w:jc w:val="center"/>
              <w:rPr>
                <w:rFonts w:ascii="Times New Roman" w:eastAsiaTheme="minorEastAsia" w:hAnsi="Times New Roman" w:cs="Times New Roman"/>
                <w:b/>
                <w:lang w:val="kk-KZ" w:eastAsia="ru-RU"/>
              </w:rPr>
            </w:pPr>
          </w:p>
          <w:p w:rsidR="00DA2D54" w:rsidRPr="00476F5B" w:rsidRDefault="00DA2D54"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DA2D54" w:rsidRPr="00DA2D54" w:rsidTr="005D2C09">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DA2D54" w:rsidRPr="00476F5B" w:rsidRDefault="00DA2D54" w:rsidP="005D2C09">
            <w:pPr>
              <w:jc w:val="center"/>
              <w:rPr>
                <w:rFonts w:ascii="Times New Roman" w:eastAsiaTheme="minorEastAsia" w:hAnsi="Times New Roman" w:cs="Times New Roman"/>
                <w:lang w:eastAsia="ru-RU"/>
              </w:rPr>
            </w:pPr>
            <w:proofErr w:type="spellStart"/>
            <w:r w:rsidRPr="00476F5B">
              <w:rPr>
                <w:rFonts w:ascii="Times New Roman" w:eastAsiaTheme="minorEastAsia" w:hAnsi="Times New Roman" w:cs="Times New Roman"/>
                <w:lang w:eastAsia="ru-RU"/>
              </w:rPr>
              <w:t>Хаттың</w:t>
            </w:r>
            <w:proofErr w:type="spellEnd"/>
            <w:r w:rsidRPr="00476F5B">
              <w:rPr>
                <w:rFonts w:ascii="Times New Roman" w:eastAsiaTheme="minorEastAsia" w:hAnsi="Times New Roman" w:cs="Times New Roman"/>
                <w:lang w:eastAsia="ru-RU"/>
              </w:rPr>
              <w:t xml:space="preserve">                   «Экспресс </w:t>
            </w:r>
            <w:proofErr w:type="spellStart"/>
            <w:r w:rsidRPr="00476F5B">
              <w:rPr>
                <w:rFonts w:ascii="Times New Roman" w:eastAsiaTheme="minorEastAsia" w:hAnsi="Times New Roman" w:cs="Times New Roman"/>
                <w:lang w:eastAsia="ru-RU"/>
              </w:rPr>
              <w:t>пошта</w:t>
            </w:r>
            <w:proofErr w:type="spellEnd"/>
            <w:r w:rsidRPr="00476F5B">
              <w:rPr>
                <w:rFonts w:ascii="Times New Roman" w:eastAsiaTheme="minorEastAsia" w:hAnsi="Times New Roman" w:cs="Times New Roman"/>
                <w:lang w:eastAsia="ru-RU"/>
              </w:rPr>
              <w:t xml:space="preserve">» </w:t>
            </w:r>
            <w:proofErr w:type="spellStart"/>
            <w:r w:rsidRPr="00476F5B">
              <w:rPr>
                <w:rFonts w:ascii="Times New Roman" w:eastAsiaTheme="minorEastAsia" w:hAnsi="Times New Roman" w:cs="Times New Roman"/>
                <w:lang w:eastAsia="ru-RU"/>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DA2D54" w:rsidRPr="00476F5B" w:rsidRDefault="00DA2D54" w:rsidP="005D2C09">
            <w:pPr>
              <w:spacing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102 дана</w:t>
            </w:r>
          </w:p>
        </w:tc>
        <w:tc>
          <w:tcPr>
            <w:tcW w:w="662" w:type="pct"/>
            <w:tcBorders>
              <w:top w:val="single" w:sz="4" w:space="0" w:color="auto"/>
              <w:left w:val="nil"/>
              <w:bottom w:val="single" w:sz="4" w:space="0" w:color="auto"/>
              <w:right w:val="single" w:sz="4" w:space="0" w:color="auto"/>
            </w:tcBorders>
            <w:vAlign w:val="center"/>
          </w:tcPr>
          <w:p w:rsidR="00DA2D54" w:rsidRPr="00476F5B" w:rsidRDefault="00DA2D54" w:rsidP="005D2C09">
            <w:pPr>
              <w:spacing w:line="240" w:lineRule="auto"/>
              <w:jc w:val="center"/>
              <w:rPr>
                <w:rFonts w:ascii="Times New Roman" w:eastAsia="Times New Roman" w:hAnsi="Times New Roman" w:cs="Times New Roman"/>
                <w:lang w:val="en-US" w:eastAsia="ru-RU"/>
              </w:rPr>
            </w:pPr>
          </w:p>
        </w:tc>
        <w:tc>
          <w:tcPr>
            <w:tcW w:w="956" w:type="pct"/>
            <w:tcBorders>
              <w:top w:val="single" w:sz="4" w:space="0" w:color="auto"/>
              <w:left w:val="nil"/>
              <w:bottom w:val="single" w:sz="4" w:space="0" w:color="auto"/>
              <w:right w:val="single" w:sz="4" w:space="0" w:color="auto"/>
            </w:tcBorders>
            <w:vAlign w:val="center"/>
          </w:tcPr>
          <w:p w:rsidR="00DA2D54" w:rsidRPr="00476F5B" w:rsidRDefault="00DA2D54" w:rsidP="005D2C09">
            <w:pPr>
              <w:spacing w:line="240" w:lineRule="auto"/>
              <w:jc w:val="center"/>
              <w:rPr>
                <w:rFonts w:ascii="Times New Roman" w:eastAsia="Times New Roman" w:hAnsi="Times New Roman" w:cs="Times New Roman"/>
                <w:lang w:val="en-US" w:eastAsia="ru-RU"/>
              </w:rPr>
            </w:pPr>
          </w:p>
        </w:tc>
        <w:tc>
          <w:tcPr>
            <w:tcW w:w="1413" w:type="pct"/>
            <w:tcBorders>
              <w:top w:val="single" w:sz="4" w:space="0" w:color="auto"/>
              <w:left w:val="nil"/>
              <w:bottom w:val="single" w:sz="4" w:space="0" w:color="auto"/>
              <w:right w:val="single" w:sz="4" w:space="0" w:color="auto"/>
            </w:tcBorders>
            <w:vAlign w:val="center"/>
          </w:tcPr>
          <w:p w:rsidR="00DA2D54" w:rsidRPr="00476F5B" w:rsidRDefault="00DA2D54" w:rsidP="005D2C09">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rsidR="00DA2D54" w:rsidRPr="00476F5B" w:rsidRDefault="00DA2D54" w:rsidP="005D2C09">
            <w:pPr>
              <w:spacing w:after="0" w:line="240" w:lineRule="auto"/>
              <w:jc w:val="center"/>
              <w:rPr>
                <w:rFonts w:ascii="Times New Roman" w:eastAsiaTheme="minorEastAsia" w:hAnsi="Times New Roman" w:cs="Times New Roman"/>
                <w:lang w:val="kk-KZ" w:eastAsia="ru-RU"/>
              </w:rPr>
            </w:pPr>
          </w:p>
          <w:p w:rsidR="00DA2D54" w:rsidRPr="00476F5B" w:rsidRDefault="00DA2D54" w:rsidP="005D2C09">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rsidR="00DA2D54" w:rsidRPr="00DA2D54" w:rsidRDefault="00DA2D54" w:rsidP="00DA2D54">
      <w:pPr>
        <w:tabs>
          <w:tab w:val="left" w:pos="3405"/>
        </w:tabs>
        <w:jc w:val="right"/>
        <w:rPr>
          <w:rFonts w:ascii="Times New Roman" w:eastAsiaTheme="minorEastAsia" w:hAnsi="Times New Roman" w:cs="Times New Roman"/>
          <w:lang w:val="en-US"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Default="00DA2D54" w:rsidP="00DA2D54">
      <w:pPr>
        <w:tabs>
          <w:tab w:val="left" w:pos="3405"/>
        </w:tabs>
        <w:rPr>
          <w:rFonts w:ascii="Times New Roman" w:eastAsiaTheme="minorEastAsia" w:hAnsi="Times New Roman" w:cs="Times New Roman"/>
          <w:lang w:val="kk-KZ" w:eastAsia="ru-RU"/>
        </w:rPr>
      </w:pPr>
    </w:p>
    <w:p w:rsidR="00DA2D54" w:rsidRPr="00476F5B" w:rsidRDefault="00DA2D54" w:rsidP="00DA2D54">
      <w:pPr>
        <w:tabs>
          <w:tab w:val="left" w:pos="3405"/>
        </w:tabs>
        <w:jc w:val="right"/>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DA2D54" w:rsidRPr="00476F5B" w:rsidTr="005D2C09">
        <w:trPr>
          <w:trHeight w:val="846"/>
        </w:trPr>
        <w:tc>
          <w:tcPr>
            <w:tcW w:w="284" w:type="pct"/>
            <w:vAlign w:val="center"/>
          </w:tcPr>
          <w:p w:rsidR="00DA2D54" w:rsidRPr="00476F5B" w:rsidRDefault="00DA2D54" w:rsidP="005D2C09">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rsidR="00DA2D54" w:rsidRPr="00476F5B" w:rsidRDefault="00DA2D54" w:rsidP="005D2C09">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rsidR="00DA2D54" w:rsidRPr="00476F5B" w:rsidRDefault="00DA2D54" w:rsidP="005D2C09">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rsidR="00DA2D54" w:rsidRPr="00476F5B" w:rsidRDefault="00DA2D54" w:rsidP="005D2C09">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rsidR="00DA2D54" w:rsidRPr="00476F5B" w:rsidRDefault="00DA2D54"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rsidR="00DA2D54" w:rsidRPr="00476F5B" w:rsidRDefault="00DA2D54"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rsidR="00DA2D54" w:rsidRPr="00476F5B" w:rsidRDefault="00DA2D54" w:rsidP="005D2C09">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rsidR="00DA2D54" w:rsidRPr="00476F5B" w:rsidRDefault="00DA2D54" w:rsidP="005D2C09">
            <w:pPr>
              <w:jc w:val="center"/>
              <w:rPr>
                <w:rFonts w:eastAsiaTheme="minorEastAsia"/>
                <w:b/>
                <w:lang w:val="kk-KZ" w:eastAsia="ru-RU"/>
              </w:rPr>
            </w:pPr>
            <w:r w:rsidRPr="00476F5B">
              <w:rPr>
                <w:rFonts w:eastAsiaTheme="minorEastAsia"/>
                <w:b/>
                <w:lang w:val="kk-KZ" w:eastAsia="ru-RU"/>
              </w:rPr>
              <w:t>Алушы</w:t>
            </w:r>
          </w:p>
        </w:tc>
      </w:tr>
      <w:tr w:rsidR="00DA2D54" w:rsidRPr="00476F5B" w:rsidTr="005D2C09">
        <w:trPr>
          <w:trHeight w:val="460"/>
        </w:trPr>
        <w:tc>
          <w:tcPr>
            <w:tcW w:w="284" w:type="pct"/>
          </w:tcPr>
          <w:p w:rsidR="00DA2D54" w:rsidRPr="00476F5B" w:rsidRDefault="00DA2D54" w:rsidP="005D2C09">
            <w:pPr>
              <w:rPr>
                <w:rFonts w:eastAsiaTheme="minorEastAsia"/>
                <w:sz w:val="28"/>
                <w:szCs w:val="28"/>
                <w:lang w:eastAsia="ru-RU"/>
              </w:rPr>
            </w:pPr>
          </w:p>
        </w:tc>
        <w:tc>
          <w:tcPr>
            <w:tcW w:w="742" w:type="pct"/>
          </w:tcPr>
          <w:p w:rsidR="00DA2D54" w:rsidRPr="00476F5B" w:rsidRDefault="00DA2D54" w:rsidP="005D2C09">
            <w:pPr>
              <w:rPr>
                <w:rFonts w:eastAsiaTheme="minorEastAsia"/>
                <w:sz w:val="28"/>
                <w:szCs w:val="28"/>
                <w:lang w:eastAsia="ru-RU"/>
              </w:rPr>
            </w:pPr>
          </w:p>
        </w:tc>
        <w:tc>
          <w:tcPr>
            <w:tcW w:w="727" w:type="pct"/>
          </w:tcPr>
          <w:p w:rsidR="00DA2D54" w:rsidRPr="00476F5B" w:rsidRDefault="00DA2D54" w:rsidP="005D2C09">
            <w:pPr>
              <w:rPr>
                <w:rFonts w:eastAsiaTheme="minorEastAsia"/>
                <w:sz w:val="28"/>
                <w:szCs w:val="28"/>
                <w:lang w:eastAsia="ru-RU"/>
              </w:rPr>
            </w:pPr>
          </w:p>
        </w:tc>
        <w:tc>
          <w:tcPr>
            <w:tcW w:w="612" w:type="pct"/>
          </w:tcPr>
          <w:p w:rsidR="00DA2D54" w:rsidRPr="00476F5B" w:rsidRDefault="00DA2D54" w:rsidP="005D2C09">
            <w:pPr>
              <w:rPr>
                <w:rFonts w:eastAsiaTheme="minorEastAsia"/>
                <w:sz w:val="28"/>
                <w:szCs w:val="28"/>
                <w:lang w:eastAsia="ru-RU"/>
              </w:rPr>
            </w:pPr>
          </w:p>
        </w:tc>
        <w:tc>
          <w:tcPr>
            <w:tcW w:w="679" w:type="pct"/>
          </w:tcPr>
          <w:p w:rsidR="00DA2D54" w:rsidRPr="00476F5B" w:rsidRDefault="00DA2D54" w:rsidP="005D2C09">
            <w:pPr>
              <w:rPr>
                <w:rFonts w:eastAsiaTheme="minorEastAsia"/>
                <w:sz w:val="28"/>
                <w:szCs w:val="28"/>
                <w:lang w:eastAsia="ru-RU"/>
              </w:rPr>
            </w:pPr>
          </w:p>
        </w:tc>
        <w:tc>
          <w:tcPr>
            <w:tcW w:w="545" w:type="pct"/>
          </w:tcPr>
          <w:p w:rsidR="00DA2D54" w:rsidRPr="00476F5B" w:rsidRDefault="00DA2D54" w:rsidP="005D2C09">
            <w:pPr>
              <w:rPr>
                <w:rFonts w:eastAsiaTheme="minorEastAsia"/>
                <w:sz w:val="28"/>
                <w:szCs w:val="28"/>
                <w:lang w:eastAsia="ru-RU"/>
              </w:rPr>
            </w:pPr>
          </w:p>
        </w:tc>
        <w:tc>
          <w:tcPr>
            <w:tcW w:w="748" w:type="pct"/>
          </w:tcPr>
          <w:p w:rsidR="00DA2D54" w:rsidRPr="00476F5B" w:rsidRDefault="00DA2D54" w:rsidP="005D2C09">
            <w:pPr>
              <w:rPr>
                <w:rFonts w:eastAsiaTheme="minorEastAsia"/>
                <w:lang w:val="kk-KZ" w:eastAsia="ru-RU"/>
              </w:rPr>
            </w:pPr>
            <w:r w:rsidRPr="00476F5B">
              <w:rPr>
                <w:rFonts w:eastAsiaTheme="minorEastAsia"/>
                <w:lang w:val="kk-KZ" w:eastAsia="ru-RU"/>
              </w:rPr>
              <w:t>Өте тығыз жеткізу</w:t>
            </w:r>
          </w:p>
          <w:p w:rsidR="00DA2D54" w:rsidRPr="00476F5B" w:rsidRDefault="00DA2D54" w:rsidP="005D2C09">
            <w:pPr>
              <w:rPr>
                <w:rFonts w:eastAsiaTheme="minorEastAsia"/>
                <w:lang w:eastAsia="ru-RU"/>
              </w:rPr>
            </w:pPr>
          </w:p>
          <w:p w:rsidR="00DA2D54" w:rsidRPr="00476F5B" w:rsidRDefault="00DA2D54" w:rsidP="005D2C09">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rsidR="00DA2D54" w:rsidRPr="00476F5B" w:rsidRDefault="00DA2D54" w:rsidP="005D2C09">
            <w:pPr>
              <w:rPr>
                <w:rFonts w:eastAsiaTheme="minorEastAsia"/>
                <w:lang w:eastAsia="ru-RU"/>
              </w:rPr>
            </w:pPr>
          </w:p>
          <w:p w:rsidR="00DA2D54" w:rsidRPr="00476F5B" w:rsidRDefault="00DA2D54" w:rsidP="005D2C09">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rsidR="00DA2D54" w:rsidRPr="00476F5B" w:rsidRDefault="00DA2D54" w:rsidP="005D2C09">
            <w:pPr>
              <w:rPr>
                <w:rFonts w:eastAsiaTheme="minorEastAsia"/>
                <w:sz w:val="28"/>
                <w:szCs w:val="28"/>
                <w:lang w:eastAsia="ru-RU"/>
              </w:rPr>
            </w:pPr>
          </w:p>
        </w:tc>
      </w:tr>
    </w:tbl>
    <w:p w:rsidR="00DA2D54" w:rsidRPr="00752660" w:rsidRDefault="00DA2D54" w:rsidP="00DA2D54">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rsidR="00FE43C6" w:rsidRPr="00DA2D54"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 xml:space="preserve">Техническая спецификация закупаемых услуг </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Наименование организатора _______________</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DA2D54">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DA2D54">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DA2D54">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C977C5" w:rsidRPr="00E43AB7" w:rsidTr="00DA2D54">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C977C5" w:rsidRPr="00E43AB7" w:rsidTr="00DA2D54">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C977C5" w:rsidRPr="00E43AB7" w:rsidTr="00DA2D54">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DA2D54">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DA2D54">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1. </w:t>
            </w:r>
            <w:r w:rsidRPr="00465968">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2. </w:t>
            </w:r>
            <w:r w:rsidRPr="00465968">
              <w:rPr>
                <w:rFonts w:ascii="Times New Roman" w:hAnsi="Times New Roman" w:cs="Times New Roman"/>
                <w:bCs/>
                <w:color w:val="000000" w:themeColor="text1"/>
                <w:sz w:val="28"/>
                <w:szCs w:val="28"/>
                <w:lang w:eastAsia="ru-RU"/>
              </w:rPr>
              <w:t>Работники (представители) Исполнителя - курьеры и курьеры-</w:t>
            </w:r>
            <w:r w:rsidRPr="00465968">
              <w:rPr>
                <w:rFonts w:ascii="Times New Roman" w:hAnsi="Times New Roman" w:cs="Times New Roman"/>
                <w:bCs/>
                <w:color w:val="000000" w:themeColor="text1"/>
                <w:sz w:val="28"/>
                <w:szCs w:val="28"/>
                <w:lang w:eastAsia="ru-RU"/>
              </w:rPr>
              <w:lastRenderedPageBreak/>
              <w:t>водители.</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3. </w:t>
            </w:r>
            <w:r w:rsidRPr="00465968">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4. </w:t>
            </w:r>
            <w:r w:rsidRPr="00465968">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5. </w:t>
            </w:r>
            <w:r w:rsidRPr="00465968">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6. </w:t>
            </w:r>
            <w:r w:rsidRPr="00465968">
              <w:rPr>
                <w:rFonts w:ascii="Times New Roman" w:hAnsi="Times New Roman" w:cs="Times New Roman"/>
                <w:bCs/>
                <w:color w:val="000000" w:themeColor="text1"/>
                <w:sz w:val="28"/>
                <w:szCs w:val="28"/>
                <w:lang w:eastAsia="ru-RU"/>
              </w:rPr>
              <w:t xml:space="preserve">Форма </w:t>
            </w:r>
            <w:r w:rsidRPr="00465968">
              <w:rPr>
                <w:rFonts w:ascii="Times New Roman" w:hAnsi="Times New Roman" w:cs="Times New Roman"/>
                <w:bCs/>
                <w:color w:val="000000" w:themeColor="text1"/>
                <w:sz w:val="28"/>
                <w:szCs w:val="28"/>
                <w:lang w:val="en-US" w:eastAsia="ru-RU"/>
              </w:rPr>
              <w:t>E</w:t>
            </w:r>
            <w:r w:rsidRPr="00465968">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7. </w:t>
            </w:r>
            <w:r w:rsidRPr="00465968">
              <w:rPr>
                <w:rFonts w:ascii="Times New Roman" w:hAnsi="Times New Roman" w:cs="Times New Roman"/>
                <w:bCs/>
                <w:color w:val="000000" w:themeColor="text1"/>
                <w:sz w:val="28"/>
                <w:szCs w:val="28"/>
                <w:lang w:eastAsia="ru-RU"/>
              </w:rPr>
              <w:t>Форма Е</w:t>
            </w:r>
            <w:proofErr w:type="gramStart"/>
            <w:r w:rsidRPr="00465968">
              <w:rPr>
                <w:rFonts w:ascii="Times New Roman" w:hAnsi="Times New Roman" w:cs="Times New Roman"/>
                <w:bCs/>
                <w:color w:val="000000" w:themeColor="text1"/>
                <w:sz w:val="28"/>
                <w:szCs w:val="28"/>
                <w:lang w:eastAsia="ru-RU"/>
              </w:rPr>
              <w:t>1</w:t>
            </w:r>
            <w:proofErr w:type="gramEnd"/>
            <w:r w:rsidRPr="00465968">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8. </w:t>
            </w:r>
            <w:r w:rsidRPr="00465968">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9. </w:t>
            </w:r>
            <w:r w:rsidRPr="00465968">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65968">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65968">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65968" w:rsidRPr="00465968" w:rsidRDefault="00465968" w:rsidP="00465968">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65968">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w:t>
            </w:r>
            <w:r w:rsidRPr="00465968">
              <w:rPr>
                <w:rFonts w:ascii="Times New Roman" w:eastAsiaTheme="minorEastAsia" w:hAnsi="Times New Roman" w:cs="Times New Roman"/>
                <w:bCs/>
                <w:iCs/>
                <w:color w:val="000000" w:themeColor="text1"/>
                <w:sz w:val="28"/>
                <w:szCs w:val="28"/>
                <w:lang w:eastAsia="ru-RU"/>
              </w:rPr>
              <w:lastRenderedPageBreak/>
              <w:t xml:space="preserve">рук в руки. </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bCs/>
                <w:iCs/>
                <w:color w:val="000000" w:themeColor="text1"/>
                <w:sz w:val="28"/>
                <w:szCs w:val="28"/>
                <w:lang w:val="kk-KZ" w:eastAsia="ru-RU"/>
              </w:rPr>
              <w:t xml:space="preserve"> 6)</w:t>
            </w:r>
            <w:r w:rsidRPr="00465968">
              <w:rPr>
                <w:rFonts w:ascii="Times New Roman" w:eastAsiaTheme="minorEastAsia" w:hAnsi="Times New Roman" w:cs="Times New Roman"/>
                <w:lang w:eastAsia="ru-RU"/>
              </w:rPr>
              <w:t xml:space="preserve"> </w:t>
            </w:r>
            <w:r w:rsidRPr="00465968">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65968">
              <w:rPr>
                <w:rFonts w:ascii="Times New Roman" w:eastAsiaTheme="minorEastAsia" w:hAnsi="Times New Roman" w:cs="Times New Roman"/>
                <w:sz w:val="28"/>
                <w:szCs w:val="28"/>
                <w:lang w:eastAsia="ru-RU"/>
              </w:rPr>
              <w:t>-к</w:t>
            </w:r>
            <w:proofErr w:type="gramEnd"/>
            <w:r w:rsidRPr="00465968">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65968">
              <w:rPr>
                <w:rFonts w:ascii="Times New Roman" w:eastAsiaTheme="minorEastAsia" w:hAnsi="Times New Roman" w:cs="Times New Roman"/>
                <w:b/>
                <w:sz w:val="28"/>
                <w:szCs w:val="28"/>
                <w:lang w:eastAsia="ru-RU"/>
              </w:rPr>
              <w:t xml:space="preserve">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65968">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65968">
              <w:rPr>
                <w:rFonts w:ascii="Times New Roman" w:eastAsiaTheme="minorEastAsia" w:hAnsi="Times New Roman" w:cs="Times New Roman"/>
                <w:iCs/>
                <w:color w:val="000000" w:themeColor="text1"/>
                <w:sz w:val="28"/>
                <w:szCs w:val="28"/>
                <w:lang w:val="kk-KZ" w:eastAsia="ru-RU"/>
              </w:rPr>
              <w:t>4</w:t>
            </w:r>
            <w:proofErr w:type="gramEnd"/>
            <w:r w:rsidRPr="00465968">
              <w:rPr>
                <w:rFonts w:ascii="Times New Roman" w:eastAsiaTheme="minorEastAsia" w:hAnsi="Times New Roman" w:cs="Times New Roman"/>
                <w:iCs/>
                <w:color w:val="000000" w:themeColor="text1"/>
                <w:sz w:val="28"/>
                <w:szCs w:val="28"/>
                <w:lang w:val="kk-KZ" w:eastAsia="ru-RU"/>
              </w:rPr>
              <w:t>, А5, скотч)</w:t>
            </w:r>
            <w:r w:rsidRPr="00465968">
              <w:rPr>
                <w:rFonts w:ascii="Times New Roman" w:eastAsiaTheme="minorEastAsia" w:hAnsi="Times New Roman" w:cs="Times New Roman"/>
                <w:iCs/>
                <w:color w:val="000000" w:themeColor="text1"/>
                <w:sz w:val="28"/>
                <w:szCs w:val="28"/>
                <w:lang w:eastAsia="ru-RU"/>
              </w:rPr>
              <w:t>;</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u w:val="single"/>
                <w:lang w:eastAsia="ru-RU"/>
              </w:rPr>
            </w:pPr>
            <w:r w:rsidRPr="00465968">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12)  отправка почты </w:t>
            </w:r>
            <w:r w:rsidRPr="00465968">
              <w:rPr>
                <w:rFonts w:ascii="Times New Roman" w:eastAsiaTheme="minorEastAsia" w:hAnsi="Times New Roman" w:cs="Times New Roman"/>
                <w:iCs/>
                <w:color w:val="000000" w:themeColor="text1"/>
                <w:sz w:val="28"/>
                <w:szCs w:val="28"/>
                <w:lang w:val="kk-KZ" w:eastAsia="ru-RU"/>
              </w:rPr>
              <w:t xml:space="preserve">должна </w:t>
            </w:r>
            <w:r w:rsidRPr="00465968">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65968">
              <w:rPr>
                <w:rFonts w:ascii="Times New Roman" w:eastAsiaTheme="minorEastAsia" w:hAnsi="Times New Roman" w:cs="Times New Roman"/>
                <w:iCs/>
                <w:color w:val="000000" w:themeColor="text1"/>
                <w:sz w:val="28"/>
                <w:szCs w:val="28"/>
                <w:lang w:eastAsia="ru-RU"/>
              </w:rPr>
              <w:t xml:space="preserve">3% </w:t>
            </w:r>
            <w:r w:rsidRPr="00465968">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lastRenderedPageBreak/>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2E2AA0" w:rsidRDefault="00465968" w:rsidP="002E2AA0">
            <w:pPr>
              <w:contextualSpacing/>
              <w:jc w:val="both"/>
              <w:rPr>
                <w:rFonts w:ascii="Times New Roman" w:hAnsi="Times New Roman" w:cs="Times New Roman"/>
                <w:b/>
                <w:color w:val="000000" w:themeColor="text1"/>
                <w:sz w:val="28"/>
                <w:szCs w:val="28"/>
                <w:lang w:val="kk-KZ"/>
              </w:rPr>
            </w:pPr>
            <w:r w:rsidRPr="00465968">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w:t>
            </w:r>
            <w:r w:rsidR="00FC3ED4">
              <w:rPr>
                <w:rFonts w:ascii="Times New Roman" w:eastAsiaTheme="minorEastAsia" w:hAnsi="Times New Roman" w:cs="Times New Roman"/>
                <w:iCs/>
                <w:color w:val="000000" w:themeColor="text1"/>
                <w:sz w:val="28"/>
                <w:szCs w:val="28"/>
                <w:lang w:val="kk-KZ" w:eastAsia="ru-RU"/>
              </w:rPr>
              <w:t xml:space="preserve">х Заказчика по адресу: </w:t>
            </w:r>
          </w:p>
          <w:p w:rsidR="00807086" w:rsidRPr="004E077A" w:rsidRDefault="00807086" w:rsidP="002E2AA0">
            <w:pPr>
              <w:contextualSpacing/>
              <w:jc w:val="both"/>
              <w:rPr>
                <w:rFonts w:ascii="Times New Roman" w:hAnsi="Times New Roman" w:cs="Times New Roman"/>
                <w:b/>
                <w:color w:val="000000" w:themeColor="text1"/>
                <w:sz w:val="28"/>
                <w:szCs w:val="28"/>
                <w:lang w:val="kk-KZ"/>
              </w:rPr>
            </w:pPr>
            <w:r w:rsidRPr="00807086">
              <w:rPr>
                <w:rFonts w:ascii="Times New Roman" w:hAnsi="Times New Roman" w:cs="Times New Roman"/>
                <w:b/>
                <w:color w:val="000000" w:themeColor="text1"/>
                <w:sz w:val="28"/>
                <w:szCs w:val="28"/>
                <w:lang w:val="kk-KZ"/>
              </w:rPr>
              <w:t>г. Караганда, улица Воинов-Интернационалистов, строение 14В,</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w:t>
            </w:r>
            <w:r w:rsidRPr="00465968">
              <w:rPr>
                <w:rFonts w:ascii="Times New Roman" w:eastAsiaTheme="minorEastAsia" w:hAnsi="Times New Roman" w:cs="Times New Roman"/>
                <w:iCs/>
                <w:color w:val="000000" w:themeColor="text1"/>
                <w:sz w:val="28"/>
                <w:szCs w:val="28"/>
                <w:lang w:val="kk-KZ" w:eastAsia="ru-RU"/>
              </w:rPr>
              <w:lastRenderedPageBreak/>
              <w:t xml:space="preserve">выполненных работ и реестр к акту выполненных работ согласно Приложению № 2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65968">
              <w:rPr>
                <w:rFonts w:ascii="Times New Roman" w:hAnsi="Times New Roman" w:cs="Times New Roman"/>
                <w:sz w:val="28"/>
                <w:szCs w:val="28"/>
              </w:rPr>
              <w:t>Оплата производится по фактически оказанным услугам.</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hAnsi="Times New Roman" w:cs="Times New Roman"/>
                <w:color w:val="000000"/>
                <w:sz w:val="28"/>
                <w:szCs w:val="28"/>
              </w:rPr>
              <w:t xml:space="preserve">1) филиалы, </w:t>
            </w:r>
            <w:r w:rsidR="002015C4">
              <w:rPr>
                <w:rFonts w:ascii="Times New Roman" w:hAnsi="Times New Roman" w:cs="Times New Roman"/>
                <w:color w:val="000000"/>
                <w:sz w:val="28"/>
                <w:szCs w:val="28"/>
              </w:rPr>
              <w:t xml:space="preserve">в 3 </w:t>
            </w:r>
            <w:r w:rsidRPr="00465968">
              <w:rPr>
                <w:rFonts w:ascii="Times New Roman" w:hAnsi="Times New Roman" w:cs="Times New Roman"/>
                <w:color w:val="000000"/>
                <w:sz w:val="28"/>
                <w:szCs w:val="28"/>
                <w:lang w:val="kk-KZ"/>
              </w:rPr>
              <w:t>городах республиканского значения</w:t>
            </w:r>
            <w:r w:rsidRPr="00465968">
              <w:rPr>
                <w:rFonts w:ascii="Times New Roman" w:hAnsi="Times New Roman" w:cs="Times New Roman"/>
                <w:color w:val="000000"/>
                <w:sz w:val="28"/>
                <w:szCs w:val="28"/>
              </w:rPr>
              <w:t xml:space="preserve"> </w:t>
            </w:r>
            <w:r w:rsidRPr="00465968">
              <w:rPr>
                <w:rFonts w:ascii="Times New Roman" w:hAnsi="Times New Roman" w:cs="Times New Roman"/>
                <w:color w:val="000000"/>
                <w:sz w:val="28"/>
                <w:szCs w:val="28"/>
                <w:lang w:val="kk-KZ"/>
              </w:rPr>
              <w:t>и</w:t>
            </w:r>
            <w:r w:rsidR="002015C4">
              <w:rPr>
                <w:rFonts w:ascii="Times New Roman" w:hAnsi="Times New Roman" w:cs="Times New Roman"/>
                <w:color w:val="000000"/>
                <w:sz w:val="28"/>
                <w:szCs w:val="28"/>
                <w:lang w:val="kk-KZ"/>
              </w:rPr>
              <w:t xml:space="preserve"> не менее в 14 </w:t>
            </w:r>
            <w:r w:rsidRPr="00465968">
              <w:rPr>
                <w:rFonts w:ascii="Times New Roman" w:hAnsi="Times New Roman" w:cs="Times New Roman"/>
                <w:color w:val="000000"/>
                <w:sz w:val="28"/>
                <w:szCs w:val="28"/>
                <w:lang w:val="kk-KZ"/>
              </w:rPr>
              <w:t xml:space="preserve">областных центрах Республики </w:t>
            </w:r>
            <w:r w:rsidRPr="00465968">
              <w:rPr>
                <w:rFonts w:ascii="Times New Roman" w:hAnsi="Times New Roman" w:cs="Times New Roman"/>
                <w:color w:val="000000"/>
                <w:sz w:val="28"/>
                <w:szCs w:val="28"/>
              </w:rPr>
              <w:t xml:space="preserve">Казахстан, обеспечивающих прием и доставку отправлений, с предоставлением подтверждающих </w:t>
            </w:r>
            <w:r w:rsidRPr="00465968">
              <w:rPr>
                <w:rFonts w:ascii="Times New Roman" w:hAnsi="Times New Roman" w:cs="Times New Roman"/>
                <w:color w:val="000000"/>
                <w:sz w:val="28"/>
                <w:szCs w:val="28"/>
              </w:rPr>
              <w:lastRenderedPageBreak/>
              <w:t>документов (</w:t>
            </w:r>
            <w:r w:rsidR="002015C4">
              <w:rPr>
                <w:rFonts w:ascii="Times New Roman" w:hAnsi="Times New Roman" w:cs="Times New Roman"/>
                <w:color w:val="000000"/>
                <w:sz w:val="28"/>
                <w:szCs w:val="28"/>
              </w:rPr>
              <w:t>необходимо приложить</w:t>
            </w:r>
            <w:r w:rsidR="00A332C0">
              <w:rPr>
                <w:rFonts w:ascii="Times New Roman" w:hAnsi="Times New Roman" w:cs="Times New Roman"/>
                <w:color w:val="000000"/>
                <w:sz w:val="28"/>
                <w:szCs w:val="28"/>
              </w:rPr>
              <w:t xml:space="preserve"> к</w:t>
            </w:r>
            <w:r w:rsidR="002015C4">
              <w:rPr>
                <w:rFonts w:ascii="Times New Roman" w:hAnsi="Times New Roman" w:cs="Times New Roman"/>
                <w:color w:val="000000"/>
                <w:sz w:val="28"/>
                <w:szCs w:val="28"/>
              </w:rPr>
              <w:t xml:space="preserve"> конкурсной заявке </w:t>
            </w:r>
            <w:r w:rsidRPr="00465968">
              <w:rPr>
                <w:rFonts w:ascii="Times New Roman" w:hAnsi="Times New Roman" w:cs="Times New Roman"/>
                <w:color w:val="000000"/>
                <w:sz w:val="28"/>
                <w:szCs w:val="28"/>
              </w:rPr>
              <w:t>Свидетельство о регистрации филиалов курьерской службы).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eastAsiaTheme="minorEastAsia" w:hAnsi="Times New Roman" w:cs="Times New Roman"/>
                <w:iCs/>
                <w:color w:val="000000" w:themeColor="text1"/>
                <w:sz w:val="28"/>
                <w:szCs w:val="28"/>
                <w:lang w:val="kk-KZ" w:eastAsia="ru-RU"/>
              </w:rPr>
              <w:t>2)</w:t>
            </w:r>
            <w:r w:rsidRPr="00465968">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доступ по паролю в личный кабинет;</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интерфейс регистрации отправления;</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интерфейс отслеживания и статуса отправлений; </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отчетность о доставке отправлений;</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оформление курьерских накладных.</w:t>
            </w:r>
          </w:p>
          <w:p w:rsidR="002015C4" w:rsidRPr="00A332C0" w:rsidRDefault="00465968" w:rsidP="00465968">
            <w:pPr>
              <w:contextualSpacing/>
              <w:jc w:val="both"/>
              <w:rPr>
                <w:rFonts w:ascii="Times New Roman" w:eastAsiaTheme="minorEastAsia" w:hAnsi="Times New Roman" w:cs="Times New Roman"/>
                <w:color w:val="000000" w:themeColor="text1"/>
                <w:sz w:val="28"/>
                <w:szCs w:val="28"/>
                <w:lang w:eastAsia="ru-RU"/>
              </w:rPr>
            </w:pPr>
            <w:r w:rsidRPr="00465968">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F24BEC">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Pr="001E5C36" w:rsidRDefault="00DA2D54" w:rsidP="00DA2D54">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t>Приложение № 1 к Технической спецификации</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9"/>
        <w:gridCol w:w="1830"/>
        <w:gridCol w:w="2703"/>
      </w:tblGrid>
      <w:tr w:rsidR="00DA2D54" w:rsidRPr="001E5C36"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DA2D54" w:rsidRPr="001E5C36" w:rsidRDefault="00DA2D54"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Наименование услуги</w:t>
            </w:r>
          </w:p>
        </w:tc>
        <w:tc>
          <w:tcPr>
            <w:tcW w:w="883" w:type="pct"/>
            <w:tcBorders>
              <w:top w:val="single" w:sz="4" w:space="0" w:color="auto"/>
              <w:left w:val="nil"/>
              <w:bottom w:val="single" w:sz="4" w:space="0" w:color="auto"/>
              <w:right w:val="single" w:sz="4" w:space="0" w:color="auto"/>
            </w:tcBorders>
            <w:shd w:val="clear" w:color="auto" w:fill="auto"/>
            <w:vAlign w:val="center"/>
          </w:tcPr>
          <w:p w:rsidR="00DA2D54" w:rsidRPr="001E5C36" w:rsidRDefault="00DA2D54" w:rsidP="005D2C09">
            <w:pPr>
              <w:spacing w:after="0" w:line="240" w:lineRule="auto"/>
              <w:jc w:val="center"/>
              <w:rPr>
                <w:rFonts w:ascii="Times New Roman" w:eastAsia="Times New Roman" w:hAnsi="Times New Roman" w:cs="Times New Roman"/>
                <w:b/>
                <w:lang w:eastAsia="ru-RU"/>
              </w:rPr>
            </w:pPr>
            <w:r w:rsidRPr="001E5C36">
              <w:rPr>
                <w:rFonts w:ascii="Times New Roman" w:eastAsia="Times New Roman" w:hAnsi="Times New Roman" w:cs="Times New Roman"/>
                <w:b/>
                <w:lang w:val="kk-KZ" w:eastAsia="ru-RU"/>
              </w:rPr>
              <w:t>Общий объем отправления в год</w:t>
            </w:r>
          </w:p>
        </w:tc>
        <w:tc>
          <w:tcPr>
            <w:tcW w:w="663" w:type="pct"/>
            <w:tcBorders>
              <w:top w:val="single" w:sz="4" w:space="0" w:color="auto"/>
              <w:left w:val="nil"/>
              <w:bottom w:val="single" w:sz="4" w:space="0" w:color="auto"/>
              <w:right w:val="single" w:sz="4" w:space="0" w:color="auto"/>
            </w:tcBorders>
            <w:vAlign w:val="center"/>
          </w:tcPr>
          <w:p w:rsidR="00DA2D54" w:rsidRPr="001E5C36" w:rsidRDefault="00DA2D54"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Цена за единицу</w:t>
            </w:r>
          </w:p>
        </w:tc>
        <w:tc>
          <w:tcPr>
            <w:tcW w:w="956" w:type="pct"/>
            <w:tcBorders>
              <w:top w:val="single" w:sz="4" w:space="0" w:color="auto"/>
              <w:left w:val="nil"/>
              <w:bottom w:val="single" w:sz="4" w:space="0" w:color="auto"/>
              <w:right w:val="single" w:sz="4" w:space="0" w:color="auto"/>
            </w:tcBorders>
            <w:vAlign w:val="center"/>
          </w:tcPr>
          <w:p w:rsidR="00DA2D54" w:rsidRPr="001E5C36" w:rsidRDefault="00DA2D54"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Общая стоимость/тг</w:t>
            </w:r>
          </w:p>
        </w:tc>
        <w:tc>
          <w:tcPr>
            <w:tcW w:w="1412" w:type="pct"/>
            <w:tcBorders>
              <w:top w:val="single" w:sz="4" w:space="0" w:color="auto"/>
              <w:left w:val="nil"/>
              <w:bottom w:val="single" w:sz="4" w:space="0" w:color="auto"/>
              <w:right w:val="single" w:sz="4" w:space="0" w:color="auto"/>
            </w:tcBorders>
            <w:vAlign w:val="center"/>
          </w:tcPr>
          <w:p w:rsidR="00DA2D54" w:rsidRPr="001E5C36" w:rsidRDefault="00DA2D54" w:rsidP="005D2C09">
            <w:pPr>
              <w:jc w:val="center"/>
              <w:rPr>
                <w:rFonts w:ascii="Times New Roman" w:eastAsiaTheme="minorEastAsia" w:hAnsi="Times New Roman" w:cs="Times New Roman"/>
                <w:b/>
                <w:color w:val="000000" w:themeColor="text1"/>
                <w:lang w:val="kk-KZ" w:eastAsia="ru-RU"/>
              </w:rPr>
            </w:pPr>
          </w:p>
          <w:p w:rsidR="00DA2D54" w:rsidRPr="001E5C36" w:rsidRDefault="00DA2D54" w:rsidP="005D2C09">
            <w:pPr>
              <w:spacing w:after="0" w:line="240" w:lineRule="auto"/>
              <w:jc w:val="center"/>
              <w:rPr>
                <w:rFonts w:ascii="Times New Roman" w:eastAsiaTheme="minorEastAsia" w:hAnsi="Times New Roman" w:cs="Times New Roman"/>
                <w:b/>
                <w:color w:val="000000" w:themeColor="text1"/>
                <w:lang w:eastAsia="ru-RU"/>
              </w:rPr>
            </w:pPr>
            <w:r w:rsidRPr="001E5C36">
              <w:rPr>
                <w:rFonts w:ascii="Times New Roman" w:eastAsiaTheme="minorEastAsia" w:hAnsi="Times New Roman" w:cs="Times New Roman"/>
                <w:b/>
                <w:color w:val="000000" w:themeColor="text1"/>
                <w:lang w:val="kk-KZ" w:eastAsia="ru-RU"/>
              </w:rPr>
              <w:t>Контрольные сроки доставки</w:t>
            </w:r>
          </w:p>
          <w:p w:rsidR="00DA2D54" w:rsidRPr="001E5C36" w:rsidRDefault="00DA2D54" w:rsidP="005D2C09">
            <w:pPr>
              <w:spacing w:after="0" w:line="240" w:lineRule="auto"/>
              <w:jc w:val="center"/>
              <w:rPr>
                <w:rFonts w:ascii="Times New Roman" w:eastAsia="Times New Roman" w:hAnsi="Times New Roman" w:cs="Times New Roman"/>
                <w:b/>
                <w:lang w:val="kk-KZ" w:eastAsia="ru-RU"/>
              </w:rPr>
            </w:pPr>
          </w:p>
        </w:tc>
      </w:tr>
      <w:tr w:rsidR="00DA2D54" w:rsidRPr="001E5C36" w:rsidTr="005D2C09">
        <w:trPr>
          <w:trHeight w:val="989"/>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DA2D54" w:rsidRPr="001E5C36" w:rsidRDefault="00DA2D54" w:rsidP="005D2C09">
            <w:pPr>
              <w:spacing w:line="240" w:lineRule="auto"/>
              <w:jc w:val="center"/>
              <w:rPr>
                <w:rFonts w:ascii="Times New Roman" w:eastAsia="Times New Roman" w:hAnsi="Times New Roman" w:cs="Times New Roman"/>
                <w:lang w:eastAsia="ru-RU"/>
              </w:rPr>
            </w:pPr>
            <w:r w:rsidRPr="001E5C36">
              <w:rPr>
                <w:rFonts w:ascii="Times New Roman" w:eastAsia="Times New Roman" w:hAnsi="Times New Roman" w:cs="Times New Roman"/>
                <w:lang w:eastAsia="ru-RU"/>
              </w:rPr>
              <w:t>Услуга                    «Экспресс почта» письма</w:t>
            </w:r>
          </w:p>
        </w:tc>
        <w:tc>
          <w:tcPr>
            <w:tcW w:w="883" w:type="pct"/>
            <w:tcBorders>
              <w:top w:val="single" w:sz="4" w:space="0" w:color="auto"/>
              <w:left w:val="nil"/>
              <w:bottom w:val="single" w:sz="4" w:space="0" w:color="auto"/>
              <w:right w:val="single" w:sz="4" w:space="0" w:color="auto"/>
            </w:tcBorders>
            <w:shd w:val="clear" w:color="auto" w:fill="auto"/>
            <w:vAlign w:val="center"/>
          </w:tcPr>
          <w:p w:rsidR="00DA2D54" w:rsidRPr="00932601" w:rsidRDefault="00DA2D54" w:rsidP="005D2C09">
            <w:pPr>
              <w:spacing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102 штук</w:t>
            </w:r>
          </w:p>
        </w:tc>
        <w:tc>
          <w:tcPr>
            <w:tcW w:w="663" w:type="pct"/>
            <w:tcBorders>
              <w:top w:val="single" w:sz="4" w:space="0" w:color="auto"/>
              <w:left w:val="nil"/>
              <w:bottom w:val="single" w:sz="4" w:space="0" w:color="auto"/>
              <w:right w:val="single" w:sz="4" w:space="0" w:color="auto"/>
            </w:tcBorders>
            <w:vAlign w:val="center"/>
          </w:tcPr>
          <w:p w:rsidR="00DA2D54" w:rsidRPr="00932601" w:rsidRDefault="00DA2D54" w:rsidP="005D2C09">
            <w:pPr>
              <w:spacing w:line="240" w:lineRule="auto"/>
              <w:jc w:val="center"/>
              <w:rPr>
                <w:rFonts w:ascii="Times New Roman" w:eastAsia="Times New Roman" w:hAnsi="Times New Roman" w:cs="Times New Roman"/>
                <w:lang w:val="kk-KZ" w:eastAsia="ru-RU"/>
              </w:rPr>
            </w:pPr>
          </w:p>
        </w:tc>
        <w:tc>
          <w:tcPr>
            <w:tcW w:w="956" w:type="pct"/>
            <w:tcBorders>
              <w:top w:val="single" w:sz="4" w:space="0" w:color="auto"/>
              <w:left w:val="nil"/>
              <w:bottom w:val="single" w:sz="4" w:space="0" w:color="auto"/>
              <w:right w:val="single" w:sz="4" w:space="0" w:color="auto"/>
            </w:tcBorders>
            <w:vAlign w:val="center"/>
          </w:tcPr>
          <w:p w:rsidR="00DA2D54" w:rsidRPr="00932601" w:rsidRDefault="00DA2D54" w:rsidP="005D2C09">
            <w:pPr>
              <w:spacing w:line="240" w:lineRule="auto"/>
              <w:jc w:val="center"/>
              <w:rPr>
                <w:rFonts w:ascii="Times New Roman" w:eastAsia="Times New Roman" w:hAnsi="Times New Roman" w:cs="Times New Roman"/>
                <w:lang w:val="kk-KZ" w:eastAsia="ru-RU"/>
              </w:rPr>
            </w:pPr>
          </w:p>
        </w:tc>
        <w:tc>
          <w:tcPr>
            <w:tcW w:w="1412" w:type="pct"/>
            <w:tcBorders>
              <w:top w:val="single" w:sz="4" w:space="0" w:color="auto"/>
              <w:left w:val="nil"/>
              <w:bottom w:val="single" w:sz="4" w:space="0" w:color="auto"/>
              <w:right w:val="single" w:sz="4" w:space="0" w:color="auto"/>
            </w:tcBorders>
            <w:vAlign w:val="center"/>
          </w:tcPr>
          <w:p w:rsidR="00DA2D54" w:rsidRPr="001E5C36" w:rsidRDefault="00DA2D54" w:rsidP="005D2C09">
            <w:pPr>
              <w:spacing w:after="0" w:line="240" w:lineRule="auto"/>
              <w:jc w:val="center"/>
              <w:rPr>
                <w:rFonts w:ascii="Times New Roman" w:eastAsiaTheme="minorEastAsia" w:hAnsi="Times New Roman" w:cs="Times New Roman"/>
                <w:color w:val="000000" w:themeColor="text1"/>
                <w:lang w:val="kk-KZ" w:eastAsia="ru-RU"/>
              </w:rPr>
            </w:pPr>
            <w:r w:rsidRPr="001E5C36">
              <w:rPr>
                <w:rFonts w:ascii="Times New Roman" w:eastAsiaTheme="minorEastAsia" w:hAnsi="Times New Roman" w:cs="Times New Roman"/>
                <w:color w:val="000000" w:themeColor="text1"/>
                <w:lang w:eastAsia="ru-RU"/>
              </w:rPr>
              <w:t xml:space="preserve">Внутри </w:t>
            </w:r>
            <w:r w:rsidRPr="001E5C36">
              <w:rPr>
                <w:rFonts w:ascii="Times New Roman" w:eastAsiaTheme="minorEastAsia" w:hAnsi="Times New Roman" w:cs="Times New Roman"/>
                <w:color w:val="000000" w:themeColor="text1"/>
                <w:lang w:val="kk-KZ" w:eastAsia="ru-RU"/>
              </w:rPr>
              <w:t>РК 1-5 рабочих дней.</w:t>
            </w:r>
          </w:p>
          <w:p w:rsidR="00DA2D54" w:rsidRPr="001E5C36" w:rsidRDefault="00DA2D54" w:rsidP="005D2C09">
            <w:pPr>
              <w:spacing w:after="0" w:line="240" w:lineRule="auto"/>
              <w:jc w:val="center"/>
              <w:rPr>
                <w:rFonts w:ascii="Times New Roman" w:eastAsiaTheme="minorEastAsia" w:hAnsi="Times New Roman" w:cs="Times New Roman"/>
                <w:color w:val="000000" w:themeColor="text1"/>
                <w:lang w:eastAsia="ru-RU"/>
              </w:rPr>
            </w:pPr>
          </w:p>
          <w:p w:rsidR="00DA2D54" w:rsidRPr="001E5C36" w:rsidRDefault="00DA2D54"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В страны зарубежья</w:t>
            </w:r>
          </w:p>
          <w:p w:rsidR="00DA2D54" w:rsidRPr="001E5C36" w:rsidRDefault="00DA2D54"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4-20 рабочих дней.</w:t>
            </w:r>
          </w:p>
          <w:p w:rsidR="00DA2D54" w:rsidRPr="001E5C36" w:rsidRDefault="00DA2D54" w:rsidP="005D2C09">
            <w:pPr>
              <w:spacing w:line="240" w:lineRule="auto"/>
              <w:jc w:val="center"/>
              <w:rPr>
                <w:rFonts w:ascii="Times New Roman" w:eastAsia="Times New Roman" w:hAnsi="Times New Roman" w:cs="Times New Roman"/>
                <w:lang w:eastAsia="ru-RU"/>
              </w:rPr>
            </w:pPr>
          </w:p>
        </w:tc>
      </w:tr>
    </w:tbl>
    <w:p w:rsidR="00DA2D54" w:rsidRDefault="00DA2D54" w:rsidP="00DA2D54">
      <w:pPr>
        <w:rPr>
          <w:lang w:val="kk-KZ"/>
        </w:rPr>
      </w:pPr>
    </w:p>
    <w:p w:rsidR="00DA2D54" w:rsidRDefault="00DA2D54" w:rsidP="00DA2D54">
      <w:pPr>
        <w:rPr>
          <w:lang w:val="kk-KZ"/>
        </w:rPr>
      </w:pPr>
    </w:p>
    <w:p w:rsidR="00DA2D54" w:rsidRDefault="00DA2D54" w:rsidP="00DA2D54">
      <w:pPr>
        <w:rPr>
          <w:lang w:val="kk-KZ"/>
        </w:rPr>
      </w:pPr>
    </w:p>
    <w:p w:rsidR="00DA2D54" w:rsidRDefault="00DA2D54" w:rsidP="00DA2D54">
      <w:pPr>
        <w:rPr>
          <w:lang w:val="kk-KZ"/>
        </w:rPr>
      </w:pPr>
    </w:p>
    <w:p w:rsidR="00DA2D54" w:rsidRDefault="00DA2D54" w:rsidP="00DA2D54">
      <w:pPr>
        <w:rPr>
          <w:lang w:val="kk-KZ"/>
        </w:rPr>
      </w:pPr>
    </w:p>
    <w:p w:rsidR="00DA2D54" w:rsidRDefault="00DA2D54" w:rsidP="00DA2D54">
      <w:pPr>
        <w:rPr>
          <w:lang w:val="kk-KZ"/>
        </w:rPr>
      </w:pPr>
    </w:p>
    <w:p w:rsidR="00DA2D54" w:rsidRDefault="00DA2D54" w:rsidP="00DA2D54">
      <w:pPr>
        <w:rPr>
          <w:lang w:val="kk-KZ"/>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p>
    <w:p w:rsidR="00DA2D54" w:rsidRDefault="00DA2D54" w:rsidP="00DA2D54">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t>Приложение № 2 к Технической спецификации</w:t>
      </w:r>
    </w:p>
    <w:p w:rsidR="00DA2D54" w:rsidRPr="001E5C36" w:rsidRDefault="00DA2D54" w:rsidP="00DA2D54">
      <w:pPr>
        <w:tabs>
          <w:tab w:val="left" w:pos="3405"/>
        </w:tabs>
        <w:jc w:val="right"/>
        <w:rPr>
          <w:rFonts w:ascii="Times New Roman" w:eastAsiaTheme="minorEastAsia" w:hAnsi="Times New Roman" w:cs="Times New Roman"/>
          <w:lang w:val="kk-KZ" w:eastAsia="ru-RU"/>
        </w:rPr>
      </w:pPr>
    </w:p>
    <w:tbl>
      <w:tblPr>
        <w:tblStyle w:val="a5"/>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DA2D54" w:rsidRPr="001E5C36" w:rsidTr="005D2C09">
        <w:trPr>
          <w:trHeight w:val="1709"/>
        </w:trPr>
        <w:tc>
          <w:tcPr>
            <w:tcW w:w="288" w:type="pct"/>
          </w:tcPr>
          <w:p w:rsidR="00DA2D54" w:rsidRPr="001E5C36" w:rsidRDefault="00DA2D54" w:rsidP="005D2C09">
            <w:pPr>
              <w:jc w:val="center"/>
              <w:rPr>
                <w:rFonts w:eastAsiaTheme="minorEastAsia"/>
                <w:b/>
                <w:lang w:eastAsia="ru-RU"/>
              </w:rPr>
            </w:pPr>
            <w:r w:rsidRPr="001E5C36">
              <w:rPr>
                <w:rFonts w:eastAsiaTheme="minorEastAsia"/>
                <w:b/>
                <w:lang w:eastAsia="ru-RU"/>
              </w:rPr>
              <w:t xml:space="preserve">№ </w:t>
            </w:r>
            <w:proofErr w:type="gramStart"/>
            <w:r w:rsidRPr="001E5C36">
              <w:rPr>
                <w:rFonts w:eastAsiaTheme="minorEastAsia"/>
                <w:b/>
                <w:lang w:eastAsia="ru-RU"/>
              </w:rPr>
              <w:t>п</w:t>
            </w:r>
            <w:proofErr w:type="gramEnd"/>
            <w:r w:rsidRPr="001E5C36">
              <w:rPr>
                <w:rFonts w:eastAsiaTheme="minorEastAsia"/>
                <w:b/>
                <w:lang w:eastAsia="ru-RU"/>
              </w:rPr>
              <w:t>/п</w:t>
            </w:r>
          </w:p>
        </w:tc>
        <w:tc>
          <w:tcPr>
            <w:tcW w:w="727" w:type="pct"/>
          </w:tcPr>
          <w:p w:rsidR="00DA2D54" w:rsidRPr="001E5C36" w:rsidRDefault="00DA2D54" w:rsidP="005D2C09">
            <w:pPr>
              <w:jc w:val="center"/>
              <w:rPr>
                <w:rFonts w:eastAsiaTheme="minorEastAsia"/>
                <w:b/>
                <w:lang w:eastAsia="ru-RU"/>
              </w:rPr>
            </w:pPr>
            <w:r w:rsidRPr="001E5C36">
              <w:rPr>
                <w:rFonts w:eastAsiaTheme="minorEastAsia"/>
                <w:b/>
                <w:lang w:eastAsia="ru-RU"/>
              </w:rPr>
              <w:t>Отправитель</w:t>
            </w:r>
          </w:p>
        </w:tc>
        <w:tc>
          <w:tcPr>
            <w:tcW w:w="734" w:type="pct"/>
          </w:tcPr>
          <w:p w:rsidR="00DA2D54" w:rsidRPr="001E5C36" w:rsidRDefault="00DA2D54" w:rsidP="005D2C09">
            <w:pPr>
              <w:jc w:val="center"/>
              <w:rPr>
                <w:rFonts w:eastAsiaTheme="minorEastAsia"/>
                <w:b/>
                <w:lang w:eastAsia="ru-RU"/>
              </w:rPr>
            </w:pPr>
            <w:r w:rsidRPr="001E5C36">
              <w:rPr>
                <w:rFonts w:eastAsiaTheme="minorEastAsia"/>
                <w:b/>
                <w:lang w:eastAsia="ru-RU"/>
              </w:rPr>
              <w:t>Номер отправления</w:t>
            </w:r>
          </w:p>
        </w:tc>
        <w:tc>
          <w:tcPr>
            <w:tcW w:w="619" w:type="pct"/>
          </w:tcPr>
          <w:p w:rsidR="00DA2D54" w:rsidRPr="001E5C36" w:rsidRDefault="00DA2D54" w:rsidP="005D2C09">
            <w:pPr>
              <w:jc w:val="center"/>
              <w:rPr>
                <w:rFonts w:eastAsiaTheme="minorEastAsia"/>
                <w:b/>
                <w:lang w:eastAsia="ru-RU"/>
              </w:rPr>
            </w:pPr>
            <w:r w:rsidRPr="001E5C36">
              <w:rPr>
                <w:rFonts w:eastAsiaTheme="minorEastAsia"/>
                <w:b/>
                <w:lang w:eastAsia="ru-RU"/>
              </w:rPr>
              <w:t>Дата отправки</w:t>
            </w:r>
          </w:p>
        </w:tc>
        <w:tc>
          <w:tcPr>
            <w:tcW w:w="685" w:type="pct"/>
          </w:tcPr>
          <w:p w:rsidR="00DA2D54" w:rsidRPr="001E5C36" w:rsidRDefault="00DA2D54" w:rsidP="005D2C09">
            <w:pPr>
              <w:jc w:val="center"/>
              <w:rPr>
                <w:rFonts w:eastAsiaTheme="minorEastAsia"/>
                <w:b/>
                <w:lang w:eastAsia="ru-RU"/>
              </w:rPr>
            </w:pPr>
            <w:r w:rsidRPr="001E5C36">
              <w:rPr>
                <w:rFonts w:eastAsiaTheme="minorEastAsia"/>
                <w:b/>
                <w:lang w:eastAsia="ru-RU"/>
              </w:rPr>
              <w:t>Сумма отправки</w:t>
            </w:r>
          </w:p>
        </w:tc>
        <w:tc>
          <w:tcPr>
            <w:tcW w:w="550" w:type="pct"/>
          </w:tcPr>
          <w:p w:rsidR="00DA2D54" w:rsidRPr="001E5C36" w:rsidRDefault="00DA2D54" w:rsidP="005D2C09">
            <w:pPr>
              <w:jc w:val="center"/>
              <w:rPr>
                <w:rFonts w:eastAsiaTheme="minorEastAsia"/>
                <w:b/>
                <w:lang w:eastAsia="ru-RU"/>
              </w:rPr>
            </w:pPr>
            <w:r w:rsidRPr="001E5C36">
              <w:rPr>
                <w:rFonts w:eastAsiaTheme="minorEastAsia"/>
                <w:b/>
                <w:lang w:eastAsia="ru-RU"/>
              </w:rPr>
              <w:t>Вес отправки</w:t>
            </w:r>
          </w:p>
        </w:tc>
        <w:tc>
          <w:tcPr>
            <w:tcW w:w="756" w:type="pct"/>
          </w:tcPr>
          <w:p w:rsidR="00DA2D54" w:rsidRPr="001E5C36" w:rsidRDefault="00DA2D54" w:rsidP="005D2C09">
            <w:pPr>
              <w:jc w:val="center"/>
              <w:rPr>
                <w:rFonts w:eastAsiaTheme="minorEastAsia"/>
                <w:b/>
                <w:lang w:eastAsia="ru-RU"/>
              </w:rPr>
            </w:pPr>
            <w:proofErr w:type="gramStart"/>
            <w:r w:rsidRPr="001E5C36">
              <w:rPr>
                <w:rFonts w:eastAsiaTheme="minorEastAsia"/>
                <w:b/>
                <w:lang w:eastAsia="ru-RU"/>
              </w:rPr>
              <w:t>Дополни-тельные</w:t>
            </w:r>
            <w:proofErr w:type="gramEnd"/>
            <w:r w:rsidRPr="001E5C36">
              <w:rPr>
                <w:rFonts w:eastAsiaTheme="minorEastAsia"/>
                <w:b/>
                <w:lang w:eastAsia="ru-RU"/>
              </w:rPr>
              <w:t xml:space="preserve"> услуги</w:t>
            </w:r>
          </w:p>
        </w:tc>
        <w:tc>
          <w:tcPr>
            <w:tcW w:w="641" w:type="pct"/>
          </w:tcPr>
          <w:p w:rsidR="00DA2D54" w:rsidRPr="001E5C36" w:rsidRDefault="00DA2D54" w:rsidP="005D2C09">
            <w:pPr>
              <w:jc w:val="center"/>
              <w:rPr>
                <w:rFonts w:eastAsiaTheme="minorEastAsia"/>
                <w:b/>
                <w:lang w:eastAsia="ru-RU"/>
              </w:rPr>
            </w:pPr>
            <w:r w:rsidRPr="001E5C36">
              <w:rPr>
                <w:rFonts w:eastAsiaTheme="minorEastAsia"/>
                <w:b/>
                <w:lang w:eastAsia="ru-RU"/>
              </w:rPr>
              <w:t>Получатель</w:t>
            </w:r>
          </w:p>
        </w:tc>
      </w:tr>
      <w:tr w:rsidR="00DA2D54" w:rsidRPr="001E5C36" w:rsidTr="005D2C09">
        <w:trPr>
          <w:trHeight w:val="460"/>
        </w:trPr>
        <w:tc>
          <w:tcPr>
            <w:tcW w:w="288" w:type="pct"/>
          </w:tcPr>
          <w:p w:rsidR="00DA2D54" w:rsidRPr="001E5C36" w:rsidRDefault="00DA2D54" w:rsidP="005D2C09">
            <w:pPr>
              <w:rPr>
                <w:rFonts w:eastAsiaTheme="minorEastAsia"/>
                <w:sz w:val="28"/>
                <w:szCs w:val="28"/>
                <w:lang w:eastAsia="ru-RU"/>
              </w:rPr>
            </w:pPr>
          </w:p>
        </w:tc>
        <w:tc>
          <w:tcPr>
            <w:tcW w:w="727" w:type="pct"/>
          </w:tcPr>
          <w:p w:rsidR="00DA2D54" w:rsidRPr="001E5C36" w:rsidRDefault="00DA2D54" w:rsidP="005D2C09">
            <w:pPr>
              <w:rPr>
                <w:rFonts w:eastAsiaTheme="minorEastAsia"/>
                <w:sz w:val="28"/>
                <w:szCs w:val="28"/>
                <w:lang w:eastAsia="ru-RU"/>
              </w:rPr>
            </w:pPr>
          </w:p>
        </w:tc>
        <w:tc>
          <w:tcPr>
            <w:tcW w:w="734" w:type="pct"/>
          </w:tcPr>
          <w:p w:rsidR="00DA2D54" w:rsidRPr="001E5C36" w:rsidRDefault="00DA2D54" w:rsidP="005D2C09">
            <w:pPr>
              <w:rPr>
                <w:rFonts w:eastAsiaTheme="minorEastAsia"/>
                <w:sz w:val="28"/>
                <w:szCs w:val="28"/>
                <w:lang w:eastAsia="ru-RU"/>
              </w:rPr>
            </w:pPr>
          </w:p>
        </w:tc>
        <w:tc>
          <w:tcPr>
            <w:tcW w:w="619" w:type="pct"/>
          </w:tcPr>
          <w:p w:rsidR="00DA2D54" w:rsidRPr="001E5C36" w:rsidRDefault="00DA2D54" w:rsidP="005D2C09">
            <w:pPr>
              <w:rPr>
                <w:rFonts w:eastAsiaTheme="minorEastAsia"/>
                <w:sz w:val="28"/>
                <w:szCs w:val="28"/>
                <w:lang w:eastAsia="ru-RU"/>
              </w:rPr>
            </w:pPr>
          </w:p>
        </w:tc>
        <w:tc>
          <w:tcPr>
            <w:tcW w:w="685" w:type="pct"/>
          </w:tcPr>
          <w:p w:rsidR="00DA2D54" w:rsidRPr="001E5C36" w:rsidRDefault="00DA2D54" w:rsidP="005D2C09">
            <w:pPr>
              <w:rPr>
                <w:rFonts w:eastAsiaTheme="minorEastAsia"/>
                <w:sz w:val="28"/>
                <w:szCs w:val="28"/>
                <w:lang w:eastAsia="ru-RU"/>
              </w:rPr>
            </w:pPr>
          </w:p>
        </w:tc>
        <w:tc>
          <w:tcPr>
            <w:tcW w:w="550" w:type="pct"/>
          </w:tcPr>
          <w:p w:rsidR="00DA2D54" w:rsidRPr="001E5C36" w:rsidRDefault="00DA2D54" w:rsidP="005D2C09">
            <w:pPr>
              <w:rPr>
                <w:rFonts w:eastAsiaTheme="minorEastAsia"/>
                <w:sz w:val="28"/>
                <w:szCs w:val="28"/>
                <w:lang w:eastAsia="ru-RU"/>
              </w:rPr>
            </w:pPr>
          </w:p>
        </w:tc>
        <w:tc>
          <w:tcPr>
            <w:tcW w:w="756" w:type="pct"/>
          </w:tcPr>
          <w:p w:rsidR="00DA2D54" w:rsidRPr="001E5C36" w:rsidRDefault="00DA2D54" w:rsidP="005D2C09">
            <w:pPr>
              <w:rPr>
                <w:rFonts w:eastAsiaTheme="minorEastAsia"/>
                <w:lang w:eastAsia="ru-RU"/>
              </w:rPr>
            </w:pPr>
            <w:r w:rsidRPr="001E5C36">
              <w:rPr>
                <w:rFonts w:eastAsiaTheme="minorEastAsia"/>
                <w:lang w:eastAsia="ru-RU"/>
              </w:rPr>
              <w:t>Сверхсрочная доставка</w:t>
            </w:r>
          </w:p>
          <w:p w:rsidR="00DA2D54" w:rsidRPr="001E5C36" w:rsidRDefault="00DA2D54" w:rsidP="005D2C09">
            <w:pPr>
              <w:rPr>
                <w:rFonts w:eastAsiaTheme="minorEastAsia"/>
                <w:lang w:eastAsia="ru-RU"/>
              </w:rPr>
            </w:pPr>
          </w:p>
          <w:p w:rsidR="00DA2D54" w:rsidRPr="001E5C36" w:rsidRDefault="00DA2D54" w:rsidP="005D2C09">
            <w:pPr>
              <w:rPr>
                <w:rFonts w:eastAsiaTheme="minorEastAsia"/>
                <w:lang w:eastAsia="ru-RU"/>
              </w:rPr>
            </w:pPr>
            <w:r w:rsidRPr="001E5C36">
              <w:rPr>
                <w:rFonts w:eastAsiaTheme="minorEastAsia"/>
                <w:lang w:eastAsia="ru-RU"/>
              </w:rPr>
              <w:t>Командирская почта</w:t>
            </w:r>
          </w:p>
          <w:p w:rsidR="00DA2D54" w:rsidRPr="001E5C36" w:rsidRDefault="00DA2D54" w:rsidP="005D2C09">
            <w:pPr>
              <w:rPr>
                <w:rFonts w:eastAsiaTheme="minorEastAsia"/>
                <w:lang w:eastAsia="ru-RU"/>
              </w:rPr>
            </w:pPr>
          </w:p>
          <w:p w:rsidR="00DA2D54" w:rsidRPr="001E5C36" w:rsidRDefault="00DA2D54" w:rsidP="005D2C09">
            <w:pPr>
              <w:rPr>
                <w:rFonts w:eastAsiaTheme="minorEastAsia"/>
                <w:sz w:val="28"/>
                <w:szCs w:val="28"/>
                <w:lang w:eastAsia="ru-RU"/>
              </w:rPr>
            </w:pPr>
            <w:proofErr w:type="gramStart"/>
            <w:r w:rsidRPr="001E5C36">
              <w:rPr>
                <w:rFonts w:eastAsiaTheme="minorEastAsia"/>
                <w:lang w:eastAsia="ru-RU"/>
              </w:rPr>
              <w:t>Заказное</w:t>
            </w:r>
            <w:proofErr w:type="gramEnd"/>
            <w:r w:rsidRPr="001E5C36">
              <w:rPr>
                <w:rFonts w:eastAsiaTheme="minorEastAsia"/>
                <w:lang w:eastAsia="ru-RU"/>
              </w:rPr>
              <w:t xml:space="preserve"> с уведомлением</w:t>
            </w:r>
          </w:p>
        </w:tc>
        <w:tc>
          <w:tcPr>
            <w:tcW w:w="641" w:type="pct"/>
          </w:tcPr>
          <w:p w:rsidR="00DA2D54" w:rsidRPr="001E5C36" w:rsidRDefault="00DA2D54" w:rsidP="005D2C09">
            <w:pPr>
              <w:rPr>
                <w:rFonts w:eastAsiaTheme="minorEastAsia"/>
                <w:sz w:val="28"/>
                <w:szCs w:val="28"/>
                <w:lang w:eastAsia="ru-RU"/>
              </w:rPr>
            </w:pPr>
          </w:p>
        </w:tc>
      </w:tr>
    </w:tbl>
    <w:p w:rsidR="00DA2D54" w:rsidRPr="00DA2D54" w:rsidRDefault="00DA2D54" w:rsidP="00BF3D32">
      <w:pPr>
        <w:tabs>
          <w:tab w:val="left" w:pos="3405"/>
        </w:tabs>
        <w:rPr>
          <w:rFonts w:ascii="Times New Roman" w:eastAsiaTheme="minorEastAsia" w:hAnsi="Times New Roman" w:cs="Times New Roman"/>
          <w:lang w:eastAsia="ru-RU"/>
        </w:rPr>
      </w:pPr>
    </w:p>
    <w:sectPr w:rsidR="00DA2D54" w:rsidRPr="00DA2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015C4"/>
    <w:rsid w:val="002466A9"/>
    <w:rsid w:val="002E2AA0"/>
    <w:rsid w:val="00465968"/>
    <w:rsid w:val="00631C47"/>
    <w:rsid w:val="00770CF5"/>
    <w:rsid w:val="00807086"/>
    <w:rsid w:val="008C4332"/>
    <w:rsid w:val="00900E17"/>
    <w:rsid w:val="00A03F60"/>
    <w:rsid w:val="00A332C0"/>
    <w:rsid w:val="00AC15ED"/>
    <w:rsid w:val="00AD7314"/>
    <w:rsid w:val="00BF3D32"/>
    <w:rsid w:val="00C242DD"/>
    <w:rsid w:val="00C54A92"/>
    <w:rsid w:val="00C977C5"/>
    <w:rsid w:val="00D16AD3"/>
    <w:rsid w:val="00DA2D54"/>
    <w:rsid w:val="00E43AB7"/>
    <w:rsid w:val="00E91248"/>
    <w:rsid w:val="00EB4D46"/>
    <w:rsid w:val="00F24BEC"/>
    <w:rsid w:val="00FC3ED4"/>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A03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A03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0635">
      <w:bodyDiv w:val="1"/>
      <w:marLeft w:val="0"/>
      <w:marRight w:val="0"/>
      <w:marTop w:val="0"/>
      <w:marBottom w:val="0"/>
      <w:divBdr>
        <w:top w:val="none" w:sz="0" w:space="0" w:color="auto"/>
        <w:left w:val="none" w:sz="0" w:space="0" w:color="auto"/>
        <w:bottom w:val="none" w:sz="0" w:space="0" w:color="auto"/>
        <w:right w:val="none" w:sz="0" w:space="0" w:color="auto"/>
      </w:divBdr>
    </w:div>
    <w:div w:id="747114330">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2158</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2026-01-29T11:41:00Z</dcterms:created>
  <dcterms:modified xsi:type="dcterms:W3CDTF">2026-01-29T11:41:00Z</dcterms:modified>
</cp:coreProperties>
</file>