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5"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73A632B8" w:rsidR="00AB60DD" w:rsidRPr="009A503F" w:rsidRDefault="00AB60DD" w:rsidP="00AB60DD">
      <w:pPr>
        <w:ind w:firstLine="397"/>
        <w:jc w:val="both"/>
      </w:pPr>
      <w:r w:rsidRPr="00C621B8">
        <w:rPr>
          <w:rStyle w:val="s0"/>
        </w:rPr>
        <w:t xml:space="preserve">Наименование </w:t>
      </w:r>
      <w:proofErr w:type="gramStart"/>
      <w:r w:rsidRPr="00C621B8">
        <w:rPr>
          <w:rStyle w:val="s0"/>
        </w:rPr>
        <w:t xml:space="preserve">конкурса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18C28E00" w:rsidR="00AB60DD" w:rsidRDefault="00AB60DD" w:rsidP="00AB60DD">
      <w:pPr>
        <w:ind w:firstLine="397"/>
        <w:jc w:val="both"/>
        <w:rPr>
          <w:rStyle w:val="s0"/>
          <w:lang w:val="kk-KZ"/>
        </w:rPr>
      </w:pPr>
      <w:r w:rsidRPr="00C621B8">
        <w:rPr>
          <w:rStyle w:val="s0"/>
        </w:rPr>
        <w:t xml:space="preserve">Наименование </w:t>
      </w:r>
      <w:proofErr w:type="gramStart"/>
      <w:r w:rsidRPr="00C621B8">
        <w:rPr>
          <w:rStyle w:val="s0"/>
        </w:rPr>
        <w:t xml:space="preserve">лота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02"/>
        <w:gridCol w:w="9831"/>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427FE268" w:rsidR="00FF259F" w:rsidRPr="00C621B8" w:rsidRDefault="005A6C10" w:rsidP="00374291">
            <w:pPr>
              <w:rPr>
                <w:color w:val="auto"/>
              </w:rPr>
            </w:pPr>
            <w:r w:rsidRPr="005A6C10">
              <w:rPr>
                <w:color w:val="auto"/>
              </w:rPr>
              <w:t>801019.000.000010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223E4E9F" w:rsidR="00FF259F" w:rsidRPr="0032353A" w:rsidRDefault="005A6C10" w:rsidP="004145E8">
            <w:pPr>
              <w:rPr>
                <w:color w:val="auto"/>
              </w:rPr>
            </w:pPr>
            <w:r w:rsidRPr="005A6C10">
              <w:rPr>
                <w:color w:val="auto"/>
              </w:rPr>
              <w:t>Услуги по обеспечению информационной безопасности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7383983B" w:rsidR="00FF259F" w:rsidRPr="00E66ABA" w:rsidRDefault="005A6C10" w:rsidP="004145E8">
            <w:pPr>
              <w:rPr>
                <w:color w:val="auto"/>
              </w:rPr>
            </w:pPr>
            <w:r w:rsidRPr="005A6C10">
              <w:rPr>
                <w:color w:val="auto"/>
              </w:rPr>
              <w:t>Одна услуга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180F2CC0" w:rsidR="00FF259F" w:rsidRPr="00E735A5" w:rsidRDefault="00E735A5" w:rsidP="004145E8">
            <w:pPr>
              <w:rPr>
                <w:color w:val="auto"/>
                <w:lang w:val="en-US"/>
              </w:rPr>
            </w:pPr>
            <w:r>
              <w:rPr>
                <w:rFonts w:eastAsiaTheme="minorHAnsi"/>
                <w:b/>
                <w:bCs/>
                <w:lang w:val="en-US" w:eastAsia="en-US"/>
              </w:rPr>
              <w:t>47 439 375.00</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25D0B31B" w:rsidR="00FF259F" w:rsidRPr="00BE49EB" w:rsidRDefault="00E735A5" w:rsidP="004145E8">
            <w:pPr>
              <w:rPr>
                <w:color w:val="auto"/>
                <w:lang w:val="kk-KZ"/>
              </w:rPr>
            </w:pPr>
            <w:r>
              <w:rPr>
                <w:rFonts w:eastAsiaTheme="minorHAnsi"/>
                <w:b/>
                <w:bCs/>
                <w:lang w:val="en-US" w:eastAsia="en-US"/>
              </w:rPr>
              <w:t>47 439</w:t>
            </w:r>
            <w:r>
              <w:rPr>
                <w:rFonts w:eastAsiaTheme="minorHAnsi"/>
                <w:b/>
                <w:bCs/>
                <w:lang w:val="en-US" w:eastAsia="en-US"/>
              </w:rPr>
              <w:t> </w:t>
            </w:r>
            <w:r>
              <w:rPr>
                <w:rFonts w:eastAsiaTheme="minorHAnsi"/>
                <w:b/>
                <w:bCs/>
                <w:lang w:val="en-US" w:eastAsia="en-US"/>
              </w:rPr>
              <w:t>375</w:t>
            </w:r>
            <w:r>
              <w:rPr>
                <w:rFonts w:eastAsiaTheme="minorHAnsi"/>
                <w:b/>
                <w:bCs/>
                <w:lang w:val="en-US" w:eastAsia="en-US"/>
              </w:rPr>
              <w:t>.00</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65D4A638" w:rsidR="00FF259F" w:rsidRPr="00BE49EB" w:rsidRDefault="003A59C2" w:rsidP="004145E8">
            <w:pPr>
              <w:rPr>
                <w:color w:val="auto"/>
              </w:rPr>
            </w:pPr>
            <w:r>
              <w:rPr>
                <w:color w:val="auto"/>
                <w:lang w:val="kk-KZ"/>
              </w:rPr>
              <w:t>30</w:t>
            </w:r>
            <w:r w:rsidR="0049336F">
              <w:rPr>
                <w:color w:val="auto"/>
              </w:rPr>
              <w:t xml:space="preserve"> дней</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C621B8" w:rsidRDefault="0071382E" w:rsidP="002665AC">
            <w:pPr>
              <w:tabs>
                <w:tab w:val="left" w:pos="1125"/>
              </w:tabs>
              <w:rPr>
                <w:color w:val="auto"/>
              </w:rPr>
            </w:pPr>
            <w:r>
              <w:rPr>
                <w:color w:val="auto"/>
                <w:highlight w:val="yellow"/>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EA600A">
              <w:lastRenderedPageBreak/>
              <w:t>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0121EA5B" w:rsidR="00FF259F"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2805FF58" w:rsidR="00FF259F" w:rsidRPr="00C621B8" w:rsidRDefault="00091133" w:rsidP="004145E8">
            <w:pPr>
              <w:rPr>
                <w:color w:val="auto"/>
              </w:rPr>
            </w:pPr>
            <w:r>
              <w:rPr>
                <w:color w:val="auto"/>
                <w:lang w:val="en-US"/>
              </w:rPr>
              <w:t>12</w:t>
            </w:r>
            <w:r w:rsidR="0049336F">
              <w:rPr>
                <w:color w:val="auto"/>
              </w:rPr>
              <w:t xml:space="preserve"> месяцев </w:t>
            </w: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DA6DD" w14:textId="1021AC13" w:rsidR="00160586" w:rsidRDefault="00160586" w:rsidP="00160586">
            <w:bookmarkStart w:id="0" w:name="_Hlk169620694"/>
            <w:proofErr w:type="spellStart"/>
            <w:r w:rsidRPr="00160586">
              <w:rPr>
                <w:lang w:val="uk-UA"/>
              </w:rPr>
              <w:t>Технические</w:t>
            </w:r>
            <w:proofErr w:type="spellEnd"/>
            <w:r w:rsidRPr="00160586">
              <w:rPr>
                <w:lang w:val="uk-UA"/>
              </w:rPr>
              <w:t xml:space="preserve"> </w:t>
            </w:r>
            <w:proofErr w:type="spellStart"/>
            <w:r w:rsidRPr="00160586">
              <w:rPr>
                <w:lang w:val="uk-UA"/>
              </w:rPr>
              <w:t>требования</w:t>
            </w:r>
            <w:proofErr w:type="spellEnd"/>
            <w:r w:rsidRPr="00160586">
              <w:rPr>
                <w:lang w:val="uk-UA"/>
              </w:rPr>
              <w:t xml:space="preserve"> на </w:t>
            </w:r>
            <w:proofErr w:type="spellStart"/>
            <w:r w:rsidRPr="00160586">
              <w:rPr>
                <w:lang w:val="uk-UA"/>
              </w:rPr>
              <w:t>оказание</w:t>
            </w:r>
            <w:proofErr w:type="spellEnd"/>
            <w:r w:rsidRPr="00160586">
              <w:rPr>
                <w:lang w:val="uk-UA"/>
              </w:rPr>
              <w:t xml:space="preserve"> услуг по </w:t>
            </w:r>
            <w:proofErr w:type="spellStart"/>
            <w:r w:rsidRPr="00160586">
              <w:rPr>
                <w:lang w:val="uk-UA"/>
              </w:rPr>
              <w:t>продлению</w:t>
            </w:r>
            <w:proofErr w:type="spellEnd"/>
            <w:r w:rsidRPr="00160586">
              <w:rPr>
                <w:lang w:val="uk-UA"/>
              </w:rPr>
              <w:t xml:space="preserve"> </w:t>
            </w:r>
            <w:proofErr w:type="spellStart"/>
            <w:r w:rsidRPr="00160586">
              <w:rPr>
                <w:lang w:val="uk-UA"/>
              </w:rPr>
              <w:t>технической</w:t>
            </w:r>
            <w:proofErr w:type="spellEnd"/>
            <w:r w:rsidRPr="00160586">
              <w:rPr>
                <w:lang w:val="uk-UA"/>
              </w:rPr>
              <w:t xml:space="preserve"> </w:t>
            </w:r>
            <w:proofErr w:type="spellStart"/>
            <w:r w:rsidRPr="00160586">
              <w:rPr>
                <w:lang w:val="uk-UA"/>
              </w:rPr>
              <w:t>поддержки</w:t>
            </w:r>
            <w:proofErr w:type="spellEnd"/>
            <w:r w:rsidRPr="00160586">
              <w:rPr>
                <w:lang w:val="uk-UA"/>
              </w:rPr>
              <w:t xml:space="preserve"> </w:t>
            </w:r>
            <w:proofErr w:type="spellStart"/>
            <w:r w:rsidRPr="00160586">
              <w:rPr>
                <w:lang w:val="uk-UA"/>
              </w:rPr>
              <w:t>оборудования</w:t>
            </w:r>
            <w:proofErr w:type="spellEnd"/>
            <w:r w:rsidRPr="00160586">
              <w:rPr>
                <w:lang w:val="uk-UA"/>
              </w:rPr>
              <w:t xml:space="preserve"> </w:t>
            </w:r>
            <w:proofErr w:type="spellStart"/>
            <w:r w:rsidRPr="00160586">
              <w:rPr>
                <w:lang w:val="uk-UA"/>
              </w:rPr>
              <w:t>FortiGate</w:t>
            </w:r>
            <w:proofErr w:type="spellEnd"/>
            <w:r w:rsidRPr="00160586">
              <w:rPr>
                <w:lang w:val="uk-UA"/>
              </w:rPr>
              <w:t xml:space="preserve"> 600F</w:t>
            </w:r>
            <w:r>
              <w:rPr>
                <w:lang w:val="uk-UA"/>
              </w:rPr>
              <w:t xml:space="preserve"> 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0D674DB5" w14:textId="05968E4C" w:rsidR="00160586" w:rsidRPr="00160586" w:rsidRDefault="0016058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E314BD1" w14:textId="1436587C" w:rsidR="000179FF" w:rsidRDefault="000179FF" w:rsidP="000179FF">
            <w:pPr>
              <w:spacing w:before="240" w:after="240"/>
              <w:jc w:val="center"/>
              <w:rPr>
                <w:rFonts w:eastAsia="Verdana"/>
                <w:b/>
                <w:lang w:val="uk-UA"/>
              </w:rPr>
            </w:pPr>
            <w:proofErr w:type="spellStart"/>
            <w:r w:rsidRPr="000179FF">
              <w:rPr>
                <w:rFonts w:eastAsia="Verdana"/>
                <w:b/>
                <w:lang w:val="uk-UA"/>
              </w:rPr>
              <w:t>Технические</w:t>
            </w:r>
            <w:proofErr w:type="spellEnd"/>
            <w:r w:rsidRPr="000179FF">
              <w:rPr>
                <w:rFonts w:eastAsia="Verdana"/>
                <w:b/>
                <w:lang w:val="uk-UA"/>
              </w:rPr>
              <w:t xml:space="preserve"> </w:t>
            </w:r>
            <w:proofErr w:type="spellStart"/>
            <w:r w:rsidRPr="000179FF">
              <w:rPr>
                <w:rFonts w:eastAsia="Verdana"/>
                <w:b/>
                <w:lang w:val="uk-UA"/>
              </w:rPr>
              <w:t>требования</w:t>
            </w:r>
            <w:proofErr w:type="spellEnd"/>
            <w:r w:rsidRPr="000179FF">
              <w:rPr>
                <w:rFonts w:eastAsia="Verdana"/>
                <w:b/>
                <w:lang w:val="uk-UA"/>
              </w:rPr>
              <w:t xml:space="preserve"> на </w:t>
            </w:r>
            <w:proofErr w:type="spellStart"/>
            <w:r w:rsidRPr="000179FF">
              <w:rPr>
                <w:rFonts w:eastAsia="Verdana"/>
                <w:b/>
                <w:lang w:val="uk-UA"/>
              </w:rPr>
              <w:t>оказание</w:t>
            </w:r>
            <w:proofErr w:type="spellEnd"/>
            <w:r w:rsidRPr="000179FF">
              <w:rPr>
                <w:rFonts w:eastAsia="Verdana"/>
                <w:b/>
                <w:lang w:val="uk-UA"/>
              </w:rPr>
              <w:t xml:space="preserve"> услуг по </w:t>
            </w:r>
            <w:proofErr w:type="spellStart"/>
            <w:r w:rsidRPr="000179FF">
              <w:rPr>
                <w:rFonts w:eastAsia="Verdana"/>
                <w:b/>
                <w:lang w:val="uk-UA"/>
              </w:rPr>
              <w:t>продлению</w:t>
            </w:r>
            <w:proofErr w:type="spellEnd"/>
            <w:r w:rsidRPr="000179FF">
              <w:rPr>
                <w:rFonts w:eastAsia="Verdana"/>
                <w:b/>
                <w:lang w:val="uk-UA"/>
              </w:rPr>
              <w:t xml:space="preserve"> </w:t>
            </w:r>
            <w:proofErr w:type="spellStart"/>
            <w:r w:rsidRPr="000179FF">
              <w:rPr>
                <w:rFonts w:eastAsia="Verdana"/>
                <w:b/>
                <w:lang w:val="uk-UA"/>
              </w:rPr>
              <w:t>технической</w:t>
            </w:r>
            <w:proofErr w:type="spellEnd"/>
            <w:r w:rsidRPr="000179FF">
              <w:rPr>
                <w:rFonts w:eastAsia="Verdana"/>
                <w:b/>
                <w:lang w:val="uk-UA"/>
              </w:rPr>
              <w:t xml:space="preserve"> </w:t>
            </w:r>
            <w:proofErr w:type="spellStart"/>
            <w:r w:rsidRPr="000179FF">
              <w:rPr>
                <w:rFonts w:eastAsia="Verdana"/>
                <w:b/>
                <w:lang w:val="uk-UA"/>
              </w:rPr>
              <w:t>поддержки</w:t>
            </w:r>
            <w:proofErr w:type="spellEnd"/>
            <w:r w:rsidRPr="000179FF">
              <w:rPr>
                <w:rFonts w:eastAsia="Verdana"/>
                <w:b/>
                <w:lang w:val="uk-UA"/>
              </w:rPr>
              <w:t xml:space="preserve"> </w:t>
            </w:r>
            <w:proofErr w:type="spellStart"/>
            <w:r w:rsidRPr="000179FF">
              <w:rPr>
                <w:rFonts w:eastAsia="Verdana"/>
                <w:b/>
                <w:lang w:val="uk-UA"/>
              </w:rPr>
              <w:t>оборудования</w:t>
            </w:r>
            <w:proofErr w:type="spellEnd"/>
            <w:r w:rsidRPr="000179FF">
              <w:rPr>
                <w:rFonts w:eastAsia="Verdana"/>
                <w:b/>
                <w:lang w:val="uk-UA"/>
              </w:rPr>
              <w:t xml:space="preserve"> </w:t>
            </w:r>
            <w:proofErr w:type="spellStart"/>
            <w:r w:rsidRPr="000179FF">
              <w:rPr>
                <w:rFonts w:eastAsia="Verdana"/>
                <w:b/>
                <w:lang w:val="uk-UA"/>
              </w:rPr>
              <w:t>FortiGate</w:t>
            </w:r>
            <w:proofErr w:type="spellEnd"/>
            <w:r w:rsidRPr="000179FF">
              <w:rPr>
                <w:rFonts w:eastAsia="Verdana"/>
                <w:b/>
                <w:lang w:val="uk-UA"/>
              </w:rPr>
              <w:t xml:space="preserve"> 600F</w:t>
            </w:r>
          </w:p>
          <w:p w14:paraId="029D10DA" w14:textId="77777777" w:rsidR="000179FF" w:rsidRDefault="000179FF" w:rsidP="00C16A5D">
            <w:pPr>
              <w:jc w:val="both"/>
            </w:pPr>
            <w:r w:rsidRPr="00413130">
              <w:t>Условия предоставления технической поддержки и продления лицензий</w:t>
            </w:r>
            <w:r>
              <w:t>:</w:t>
            </w:r>
          </w:p>
          <w:p w14:paraId="2AD97597" w14:textId="77777777" w:rsidR="000179FF" w:rsidRDefault="000179FF" w:rsidP="00C16A5D">
            <w:pPr>
              <w:jc w:val="both"/>
              <w:rPr>
                <w:rFonts w:eastAsia="Calibri"/>
                <w:szCs w:val="22"/>
              </w:rPr>
            </w:pPr>
          </w:p>
          <w:p w14:paraId="29EE71BD" w14:textId="77777777" w:rsidR="000179FF" w:rsidRDefault="000179FF" w:rsidP="00C16A5D">
            <w:pPr>
              <w:jc w:val="both"/>
              <w:rPr>
                <w:spacing w:val="-1"/>
              </w:rPr>
            </w:pPr>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58EAA48F" w14:textId="77777777" w:rsidR="000179FF" w:rsidRDefault="000179FF" w:rsidP="00C16A5D">
            <w:pPr>
              <w:jc w:val="both"/>
              <w:rPr>
                <w:rFonts w:eastAsia="Calibri"/>
                <w:szCs w:val="22"/>
              </w:rPr>
            </w:pPr>
          </w:p>
          <w:p w14:paraId="3449535E" w14:textId="77777777" w:rsidR="000179FF" w:rsidRDefault="000179FF" w:rsidP="00C16A5D">
            <w:pPr>
              <w:jc w:val="both"/>
            </w:pPr>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0D521BFC" w14:textId="77777777" w:rsidR="000179FF" w:rsidRDefault="000179FF" w:rsidP="00C16A5D">
            <w:pPr>
              <w:jc w:val="both"/>
              <w:rPr>
                <w:rFonts w:eastAsia="Calibri"/>
                <w:szCs w:val="22"/>
              </w:rPr>
            </w:pPr>
          </w:p>
          <w:p w14:paraId="57FCEB50" w14:textId="77777777" w:rsidR="000179FF" w:rsidRDefault="000179FF" w:rsidP="00C16A5D">
            <w:pPr>
              <w:jc w:val="both"/>
            </w:pPr>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4AEC63F9" w14:textId="77777777" w:rsidR="000179FF" w:rsidRDefault="000179FF" w:rsidP="00C16A5D">
            <w:pPr>
              <w:jc w:val="both"/>
              <w:rPr>
                <w:rFonts w:eastAsia="Calibri"/>
                <w:szCs w:val="22"/>
              </w:rPr>
            </w:pPr>
          </w:p>
          <w:p w14:paraId="10EE7F98" w14:textId="77777777" w:rsidR="000179FF" w:rsidRDefault="000179FF" w:rsidP="00C16A5D">
            <w:pPr>
              <w:jc w:val="both"/>
            </w:pPr>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5D19F117" w14:textId="47211D9A" w:rsidR="000179FF" w:rsidRDefault="000179FF" w:rsidP="00C16A5D">
            <w:pPr>
              <w:jc w:val="both"/>
              <w:rPr>
                <w:rFonts w:eastAsia="Calibri"/>
                <w:szCs w:val="22"/>
              </w:rPr>
            </w:pPr>
          </w:p>
          <w:p w14:paraId="5C7968B2" w14:textId="77777777" w:rsidR="000179FF" w:rsidRDefault="000179FF" w:rsidP="00C16A5D">
            <w:pPr>
              <w:jc w:val="both"/>
              <w:rPr>
                <w:rFonts w:eastAsia="Calibri"/>
                <w:szCs w:val="22"/>
              </w:rPr>
            </w:pPr>
          </w:p>
          <w:p w14:paraId="6B2A0910" w14:textId="70F9AF67" w:rsidR="000179FF" w:rsidRDefault="000179FF" w:rsidP="00C16A5D">
            <w:pPr>
              <w:jc w:val="both"/>
            </w:pPr>
            <w:r>
              <w:t>Требования к лицензии:</w:t>
            </w:r>
          </w:p>
          <w:p w14:paraId="35CAFE6D" w14:textId="77777777" w:rsidR="000179FF" w:rsidRDefault="000179FF" w:rsidP="00C16A5D">
            <w:pPr>
              <w:jc w:val="both"/>
            </w:pPr>
          </w:p>
          <w:p w14:paraId="1B55D6E0" w14:textId="549C9F0B" w:rsidR="000179FF" w:rsidRDefault="000179FF" w:rsidP="00C16A5D">
            <w:pPr>
              <w:jc w:val="both"/>
            </w:pPr>
            <w:r w:rsidRPr="00C1311F">
              <w:t>Возможность обращения в техническую поддержку для решения проблем, связанных с эксплуатацией программно-аппаратного комплекса.</w:t>
            </w:r>
          </w:p>
          <w:p w14:paraId="178E5AD1" w14:textId="4B3EB408" w:rsidR="000179FF" w:rsidRDefault="000179FF" w:rsidP="00C16A5D">
            <w:pPr>
              <w:jc w:val="both"/>
              <w:rPr>
                <w:rFonts w:eastAsia="Calibri"/>
                <w:szCs w:val="22"/>
              </w:rPr>
            </w:pPr>
          </w:p>
          <w:p w14:paraId="3F8D61E9" w14:textId="2A23A092" w:rsidR="000179FF" w:rsidRDefault="000179FF" w:rsidP="00C16A5D">
            <w:pPr>
              <w:jc w:val="both"/>
            </w:pPr>
            <w:r w:rsidRPr="00C1311F">
              <w:lastRenderedPageBreak/>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33D3DA5B" w14:textId="616C9C50" w:rsidR="000179FF" w:rsidRDefault="000179FF" w:rsidP="00C16A5D">
            <w:pPr>
              <w:jc w:val="both"/>
              <w:rPr>
                <w:rFonts w:eastAsia="Calibri"/>
                <w:szCs w:val="22"/>
              </w:rPr>
            </w:pPr>
          </w:p>
          <w:p w14:paraId="1EB59F4D" w14:textId="73A3FB58" w:rsidR="000179FF" w:rsidRDefault="000179FF" w:rsidP="00C16A5D">
            <w:pPr>
              <w:jc w:val="both"/>
            </w:pPr>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p>
          <w:p w14:paraId="74EE4C36" w14:textId="77777777" w:rsidR="000179FF" w:rsidRDefault="000179FF" w:rsidP="00C16A5D">
            <w:pPr>
              <w:jc w:val="both"/>
              <w:rPr>
                <w:rFonts w:eastAsia="Calibri"/>
                <w:szCs w:val="22"/>
              </w:rPr>
            </w:pPr>
          </w:p>
          <w:p w14:paraId="0383DBE7" w14:textId="77777777" w:rsidR="000179FF" w:rsidRDefault="000179FF" w:rsidP="00C16A5D">
            <w:pPr>
              <w:jc w:val="both"/>
              <w:rPr>
                <w:rFonts w:eastAsia="Calibri"/>
                <w:szCs w:val="22"/>
              </w:rPr>
            </w:pPr>
          </w:p>
          <w:p w14:paraId="799AAA63" w14:textId="77777777" w:rsidR="000179FF" w:rsidRDefault="000179FF" w:rsidP="00C16A5D">
            <w:pPr>
              <w:jc w:val="both"/>
            </w:pPr>
            <w:r>
              <w:t>Сервисные лицензии должны включать в себя:</w:t>
            </w:r>
          </w:p>
          <w:p w14:paraId="161C2FEB" w14:textId="77777777" w:rsidR="000179FF" w:rsidRDefault="000179FF" w:rsidP="00C16A5D">
            <w:pPr>
              <w:jc w:val="both"/>
              <w:rPr>
                <w:rFonts w:eastAsia="Calibri"/>
                <w:szCs w:val="22"/>
              </w:rPr>
            </w:pPr>
          </w:p>
          <w:p w14:paraId="699D9690" w14:textId="77777777" w:rsidR="000179FF" w:rsidRDefault="000179FF" w:rsidP="00C16A5D">
            <w:pPr>
              <w:jc w:val="both"/>
            </w:pPr>
            <w:r w:rsidRPr="00413130">
              <w:t>Контроль приложений – обновление сигнатур приложения от производителя не менее одного года.</w:t>
            </w:r>
          </w:p>
          <w:p w14:paraId="45DC523D" w14:textId="77777777" w:rsidR="000179FF" w:rsidRDefault="000179FF" w:rsidP="00C16A5D">
            <w:pPr>
              <w:jc w:val="both"/>
              <w:rPr>
                <w:rFonts w:eastAsia="Calibri"/>
                <w:szCs w:val="22"/>
              </w:rPr>
            </w:pPr>
          </w:p>
          <w:p w14:paraId="0C44C42E" w14:textId="77777777" w:rsidR="000179FF" w:rsidRDefault="000179FF" w:rsidP="00C16A5D">
            <w:pPr>
              <w:jc w:val="both"/>
            </w:pPr>
            <w:r w:rsidRPr="00413130">
              <w:t>Система предотвращения вторжений – обновление сигнатур от производителя не менее одного года.</w:t>
            </w:r>
          </w:p>
          <w:p w14:paraId="7CAABCA6" w14:textId="77777777" w:rsidR="000179FF" w:rsidRDefault="000179FF" w:rsidP="00C16A5D">
            <w:pPr>
              <w:jc w:val="both"/>
              <w:rPr>
                <w:rFonts w:eastAsia="Calibri"/>
                <w:szCs w:val="22"/>
              </w:rPr>
            </w:pPr>
          </w:p>
          <w:p w14:paraId="69FE3BDE" w14:textId="77777777" w:rsidR="000179FF" w:rsidRDefault="000179FF" w:rsidP="00C16A5D">
            <w:pPr>
              <w:jc w:val="both"/>
            </w:pPr>
            <w:r>
              <w:t>А</w:t>
            </w:r>
            <w:r w:rsidRPr="00413130">
              <w:t>нтивирусная защита - обновление сигнатур приложения от производителя не менее одного года.</w:t>
            </w:r>
          </w:p>
          <w:p w14:paraId="434EBCC5" w14:textId="77777777" w:rsidR="000179FF" w:rsidRDefault="000179FF" w:rsidP="00C16A5D">
            <w:pPr>
              <w:jc w:val="both"/>
              <w:rPr>
                <w:rFonts w:eastAsia="Calibri"/>
                <w:szCs w:val="22"/>
              </w:rPr>
            </w:pPr>
          </w:p>
          <w:p w14:paraId="02F08BA8" w14:textId="77777777" w:rsidR="000179FF" w:rsidRDefault="000179FF" w:rsidP="00C16A5D">
            <w:pPr>
              <w:jc w:val="both"/>
            </w:pPr>
            <w:r>
              <w:t>Ф</w:t>
            </w:r>
            <w:r w:rsidRPr="00413130">
              <w:t>ильтрация веб-трафика – доступ к онлайн базе репутация производителя не менее одного года.</w:t>
            </w:r>
          </w:p>
          <w:p w14:paraId="303D3FCF" w14:textId="77777777" w:rsidR="000179FF" w:rsidRDefault="000179FF" w:rsidP="00C16A5D">
            <w:pPr>
              <w:jc w:val="both"/>
              <w:rPr>
                <w:rFonts w:eastAsia="Calibri"/>
                <w:szCs w:val="22"/>
              </w:rPr>
            </w:pPr>
          </w:p>
          <w:p w14:paraId="1D03EF60" w14:textId="77777777" w:rsidR="000179FF" w:rsidRDefault="000179FF" w:rsidP="00C16A5D">
            <w:pPr>
              <w:jc w:val="both"/>
            </w:pPr>
            <w:r w:rsidRPr="00413130">
              <w:t>Защита от нежелательной корреспонденции</w:t>
            </w:r>
            <w:r>
              <w:rPr>
                <w:lang w:val="kk-KZ"/>
              </w:rPr>
              <w:t xml:space="preserve"> </w:t>
            </w:r>
            <w:r w:rsidRPr="00413130">
              <w:t>(антиспам) – доступ к онлайн базе репутация производителя не менее одного года.</w:t>
            </w:r>
          </w:p>
          <w:p w14:paraId="7E455F3F" w14:textId="77777777" w:rsidR="000179FF" w:rsidRDefault="000179FF" w:rsidP="00C16A5D">
            <w:pPr>
              <w:jc w:val="both"/>
              <w:rPr>
                <w:rFonts w:eastAsia="Calibri"/>
                <w:szCs w:val="22"/>
              </w:rPr>
            </w:pPr>
          </w:p>
          <w:p w14:paraId="0221874A" w14:textId="63EF4ACD" w:rsidR="000179FF" w:rsidRDefault="000179FF" w:rsidP="00C16A5D">
            <w:pPr>
              <w:jc w:val="both"/>
            </w:pPr>
            <w:proofErr w:type="spellStart"/>
            <w:r w:rsidRPr="00413130">
              <w:t>FortiSandbox</w:t>
            </w:r>
            <w:proofErr w:type="spellEnd"/>
            <w:r w:rsidRPr="00413130">
              <w:t xml:space="preserve"> </w:t>
            </w:r>
            <w:proofErr w:type="spellStart"/>
            <w:r w:rsidRPr="00413130">
              <w:t>Cloud</w:t>
            </w:r>
            <w:proofErr w:type="spellEnd"/>
            <w:r w:rsidRPr="00413130">
              <w:t xml:space="preserve"> — это решение для выявления продвинутых угроз, выполняющее динамический анализ для идентификации ранее неизвестного вредоносного ПО. Актуальные данные, созданные «песочницей» </w:t>
            </w:r>
            <w:proofErr w:type="spellStart"/>
            <w:r w:rsidRPr="00413130">
              <w:t>FortiCloud</w:t>
            </w:r>
            <w:proofErr w:type="spellEnd"/>
            <w:r w:rsidRPr="00413130">
              <w:t xml:space="preserve"> </w:t>
            </w:r>
            <w:proofErr w:type="spellStart"/>
            <w:r w:rsidRPr="00413130">
              <w:t>Sandbox</w:t>
            </w:r>
            <w:proofErr w:type="spellEnd"/>
            <w:r w:rsidRPr="00413130">
              <w:t>, поступают в системы профилактической проверки внутри сети для обезвреживания угрозы</w:t>
            </w:r>
            <w:r>
              <w:t>.</w:t>
            </w:r>
          </w:p>
          <w:p w14:paraId="1EBC32FD" w14:textId="77777777" w:rsidR="000179FF" w:rsidRDefault="000179FF" w:rsidP="00C16A5D">
            <w:pPr>
              <w:jc w:val="both"/>
              <w:rPr>
                <w:rFonts w:eastAsia="Calibri"/>
                <w:szCs w:val="22"/>
              </w:rPr>
            </w:pPr>
          </w:p>
          <w:p w14:paraId="4456901F" w14:textId="77777777" w:rsidR="000179FF" w:rsidRDefault="000179FF" w:rsidP="00C16A5D">
            <w:pPr>
              <w:jc w:val="both"/>
            </w:pPr>
            <w:r w:rsidRPr="00413130">
              <w:t xml:space="preserve">Служба </w:t>
            </w:r>
            <w:proofErr w:type="spellStart"/>
            <w:r w:rsidRPr="00413130">
              <w:t>FortiCare</w:t>
            </w:r>
            <w:proofErr w:type="spellEnd"/>
            <w:r w:rsidRPr="00413130">
              <w:t xml:space="preserve"> – техническая поддержка от производителя</w:t>
            </w:r>
            <w:r>
              <w:t>.</w:t>
            </w:r>
          </w:p>
          <w:p w14:paraId="0AFCD991" w14:textId="77777777" w:rsidR="00160586" w:rsidRDefault="00160586" w:rsidP="00C16A5D">
            <w:pPr>
              <w:jc w:val="both"/>
              <w:rPr>
                <w:rFonts w:eastAsia="Calibri"/>
                <w:szCs w:val="22"/>
              </w:rPr>
            </w:pPr>
          </w:p>
          <w:p w14:paraId="4802B110" w14:textId="77777777" w:rsidR="00160586" w:rsidRDefault="00160586" w:rsidP="00C16A5D">
            <w:pPr>
              <w:jc w:val="both"/>
              <w:rPr>
                <w:rFonts w:eastAsia="Calibri"/>
                <w:szCs w:val="22"/>
              </w:rPr>
            </w:pPr>
          </w:p>
          <w:p w14:paraId="2439758F" w14:textId="77777777" w:rsidR="00160586" w:rsidRDefault="00160586" w:rsidP="00160586">
            <w:pPr>
              <w:jc w:val="both"/>
            </w:pPr>
            <w:r w:rsidRPr="00D82C1F">
              <w:rPr>
                <w:lang w:val="kk-KZ"/>
              </w:rPr>
              <w:lastRenderedPageBreak/>
              <w:t xml:space="preserve">Ежегодные лицензии на право пользования программно-аппаратным комплексом Fortinet </w:t>
            </w:r>
            <w:r>
              <w:rPr>
                <w:lang w:val="en-US"/>
              </w:rPr>
              <w:t>FortiGate</w:t>
            </w:r>
            <w:r w:rsidRPr="008E615B">
              <w:t xml:space="preserve"> </w:t>
            </w:r>
            <w:r w:rsidRPr="004475BD">
              <w:t>600</w:t>
            </w:r>
            <w:r>
              <w:rPr>
                <w:lang w:val="en-US"/>
              </w:rPr>
              <w:t>F</w:t>
            </w:r>
            <w:r w:rsidRPr="008E615B">
              <w:t>:</w:t>
            </w:r>
            <w:r w:rsidRPr="000179FF">
              <w:t xml:space="preserve"> </w:t>
            </w:r>
          </w:p>
          <w:p w14:paraId="2F8AD9E6" w14:textId="77777777" w:rsidR="00160586" w:rsidRDefault="00160586" w:rsidP="00160586">
            <w:pPr>
              <w:jc w:val="both"/>
            </w:pPr>
          </w:p>
          <w:p w14:paraId="4F1CDEF6" w14:textId="7CD62138" w:rsidR="00160586" w:rsidRPr="00160586" w:rsidRDefault="00160586" w:rsidP="00C16A5D">
            <w:pPr>
              <w:jc w:val="both"/>
            </w:pPr>
            <w:r w:rsidRPr="000179FF">
              <w:t xml:space="preserve">2 </w:t>
            </w:r>
            <w:proofErr w:type="spellStart"/>
            <w:r>
              <w:t>шт</w:t>
            </w:r>
            <w:proofErr w:type="spellEnd"/>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7D833" w14:textId="2470E4D3" w:rsidR="00160586" w:rsidRDefault="00160586" w:rsidP="00160586">
            <w:proofErr w:type="spellStart"/>
            <w:r w:rsidRPr="00160586">
              <w:rPr>
                <w:lang w:val="uk-UA"/>
              </w:rPr>
              <w:lastRenderedPageBreak/>
              <w:t>Технические</w:t>
            </w:r>
            <w:proofErr w:type="spellEnd"/>
            <w:r w:rsidRPr="00160586">
              <w:rPr>
                <w:lang w:val="uk-UA"/>
              </w:rPr>
              <w:t xml:space="preserve"> </w:t>
            </w:r>
            <w:proofErr w:type="spellStart"/>
            <w:r w:rsidRPr="00160586">
              <w:rPr>
                <w:lang w:val="uk-UA"/>
              </w:rPr>
              <w:t>требования</w:t>
            </w:r>
            <w:proofErr w:type="spellEnd"/>
            <w:r w:rsidRPr="00160586">
              <w:rPr>
                <w:lang w:val="uk-UA"/>
              </w:rPr>
              <w:t xml:space="preserve"> на </w:t>
            </w:r>
            <w:proofErr w:type="spellStart"/>
            <w:r w:rsidRPr="00160586">
              <w:rPr>
                <w:lang w:val="uk-UA"/>
              </w:rPr>
              <w:t>оказание</w:t>
            </w:r>
            <w:proofErr w:type="spellEnd"/>
            <w:r w:rsidRPr="00160586">
              <w:rPr>
                <w:lang w:val="uk-UA"/>
              </w:rPr>
              <w:t xml:space="preserve"> услуг по </w:t>
            </w:r>
            <w:proofErr w:type="spellStart"/>
            <w:r w:rsidRPr="00160586">
              <w:rPr>
                <w:lang w:val="uk-UA"/>
              </w:rPr>
              <w:t>продлению</w:t>
            </w:r>
            <w:proofErr w:type="spellEnd"/>
            <w:r w:rsidRPr="00160586">
              <w:rPr>
                <w:lang w:val="uk-UA"/>
              </w:rPr>
              <w:t xml:space="preserve"> </w:t>
            </w:r>
            <w:proofErr w:type="spellStart"/>
            <w:r w:rsidRPr="00160586">
              <w:rPr>
                <w:lang w:val="uk-UA"/>
              </w:rPr>
              <w:t>технической</w:t>
            </w:r>
            <w:proofErr w:type="spellEnd"/>
            <w:r w:rsidRPr="00160586">
              <w:rPr>
                <w:lang w:val="uk-UA"/>
              </w:rPr>
              <w:t xml:space="preserve"> </w:t>
            </w:r>
            <w:proofErr w:type="spellStart"/>
            <w:r w:rsidRPr="00160586">
              <w:rPr>
                <w:lang w:val="uk-UA"/>
              </w:rPr>
              <w:t>поддержки</w:t>
            </w:r>
            <w:proofErr w:type="spellEnd"/>
            <w:r w:rsidRPr="00160586">
              <w:rPr>
                <w:lang w:val="uk-UA"/>
              </w:rPr>
              <w:t xml:space="preserve"> </w:t>
            </w:r>
            <w:proofErr w:type="spellStart"/>
            <w:r w:rsidRPr="00160586">
              <w:rPr>
                <w:lang w:val="uk-UA"/>
              </w:rPr>
              <w:t>оборудования</w:t>
            </w:r>
            <w:proofErr w:type="spellEnd"/>
            <w:r w:rsidRPr="00160586">
              <w:rPr>
                <w:lang w:val="uk-UA"/>
              </w:rPr>
              <w:t xml:space="preserve"> </w:t>
            </w:r>
            <w:proofErr w:type="spellStart"/>
            <w:r w:rsidRPr="00160586">
              <w:rPr>
                <w:lang w:val="uk-UA"/>
              </w:rPr>
              <w:t>FortiGate</w:t>
            </w:r>
            <w:proofErr w:type="spellEnd"/>
            <w:r w:rsidRPr="00160586">
              <w:rPr>
                <w:lang w:val="uk-UA"/>
              </w:rPr>
              <w:t xml:space="preserve"> </w:t>
            </w:r>
            <w:r>
              <w:rPr>
                <w:lang w:val="uk-UA"/>
              </w:rPr>
              <w:t>12</w:t>
            </w:r>
            <w:r w:rsidRPr="00160586">
              <w:rPr>
                <w:lang w:val="uk-UA"/>
              </w:rPr>
              <w:t>0</w:t>
            </w:r>
            <w:r>
              <w:rPr>
                <w:lang w:val="en-US"/>
              </w:rPr>
              <w:t>G</w:t>
            </w:r>
            <w:r>
              <w:rPr>
                <w:lang w:val="uk-UA"/>
              </w:rPr>
              <w:t xml:space="preserve"> 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6E00DEDD" w14:textId="1B83357E" w:rsidR="00FF259F" w:rsidRPr="00715B26" w:rsidRDefault="00FF259F"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776CCD8" w14:textId="00C4C005" w:rsidR="00B37F99" w:rsidRDefault="00160586" w:rsidP="00160586">
            <w:pPr>
              <w:pStyle w:val="2"/>
              <w:numPr>
                <w:ilvl w:val="0"/>
                <w:numId w:val="0"/>
              </w:numPr>
              <w:jc w:val="center"/>
            </w:pPr>
            <w:r w:rsidRPr="00160586">
              <w:t xml:space="preserve">Технические требования на оказание услуг по продлению технической поддержки оборудования </w:t>
            </w:r>
            <w:proofErr w:type="spellStart"/>
            <w:r w:rsidRPr="00160586">
              <w:t>FortiGate</w:t>
            </w:r>
            <w:proofErr w:type="spellEnd"/>
            <w:r w:rsidRPr="00160586">
              <w:t xml:space="preserve"> 120G</w:t>
            </w:r>
          </w:p>
          <w:p w14:paraId="17073791" w14:textId="0AEB6E8D" w:rsidR="00160586" w:rsidRDefault="00160586" w:rsidP="00160586"/>
          <w:p w14:paraId="04FCD109" w14:textId="103C5675" w:rsidR="00160586" w:rsidRDefault="00160586" w:rsidP="00160586">
            <w:r w:rsidRPr="00413130">
              <w:t>Условия предоставления технической поддержки и продления лицензий</w:t>
            </w:r>
            <w:r>
              <w:t>:</w:t>
            </w:r>
          </w:p>
          <w:p w14:paraId="75CD7242" w14:textId="65A5512D" w:rsidR="00160586" w:rsidRDefault="00160586" w:rsidP="00160586"/>
          <w:p w14:paraId="1228074A" w14:textId="57EB9B37" w:rsidR="00160586" w:rsidRPr="00160586" w:rsidRDefault="00160586" w:rsidP="00160586">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32075F4A" w14:textId="77777777" w:rsidR="000D78DE" w:rsidRDefault="000D78DE" w:rsidP="000D78DE">
            <w:pPr>
              <w:rPr>
                <w:lang w:val="kk-KZ"/>
              </w:rPr>
            </w:pPr>
          </w:p>
          <w:p w14:paraId="3F35B462" w14:textId="77777777" w:rsidR="00160586" w:rsidRDefault="00160586" w:rsidP="000D78DE">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1B7D7101" w14:textId="77777777" w:rsidR="00160586" w:rsidRDefault="00160586" w:rsidP="000D78DE">
            <w:pPr>
              <w:rPr>
                <w:lang w:val="kk-KZ"/>
              </w:rPr>
            </w:pPr>
          </w:p>
          <w:p w14:paraId="5C40ECA0" w14:textId="77777777" w:rsidR="00160586" w:rsidRDefault="00160586" w:rsidP="000D78DE">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64F0B0A9" w14:textId="77777777" w:rsidR="00160586" w:rsidRDefault="00160586" w:rsidP="000D78DE">
            <w:pPr>
              <w:rPr>
                <w:lang w:val="kk-KZ"/>
              </w:rPr>
            </w:pPr>
          </w:p>
          <w:p w14:paraId="05C61628" w14:textId="77777777" w:rsidR="00160586" w:rsidRDefault="00160586" w:rsidP="000D78DE">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65C188A6" w14:textId="77777777" w:rsidR="00160586" w:rsidRDefault="00160586" w:rsidP="000D78DE">
            <w:pPr>
              <w:rPr>
                <w:lang w:val="kk-KZ"/>
              </w:rPr>
            </w:pPr>
          </w:p>
          <w:p w14:paraId="5450A27A" w14:textId="77777777" w:rsidR="00160586" w:rsidRDefault="00160586" w:rsidP="000D78DE">
            <w:pPr>
              <w:rPr>
                <w:lang w:val="kk-KZ"/>
              </w:rPr>
            </w:pPr>
          </w:p>
          <w:p w14:paraId="6ACEECB8" w14:textId="77777777" w:rsidR="00160586" w:rsidRDefault="00160586" w:rsidP="000D78DE">
            <w:r>
              <w:t>Требования к лицензии:</w:t>
            </w:r>
          </w:p>
          <w:p w14:paraId="33A1CD7C" w14:textId="77777777" w:rsidR="00160586" w:rsidRDefault="00160586" w:rsidP="000D78DE">
            <w:pPr>
              <w:rPr>
                <w:lang w:val="kk-KZ"/>
              </w:rPr>
            </w:pPr>
          </w:p>
          <w:p w14:paraId="1BF7C7A7" w14:textId="77777777" w:rsidR="00160586" w:rsidRDefault="00160586" w:rsidP="000D78DE">
            <w:r w:rsidRPr="00C1311F">
              <w:t>Возможность обращения в техническую поддержку для решения проблем, связанных с эксплуатацией программно-аппаратного комплекса.</w:t>
            </w:r>
          </w:p>
          <w:p w14:paraId="6E2F6A3B" w14:textId="77777777" w:rsidR="00160586" w:rsidRDefault="00160586" w:rsidP="000D78DE">
            <w:pPr>
              <w:rPr>
                <w:lang w:val="kk-KZ"/>
              </w:rPr>
            </w:pPr>
          </w:p>
          <w:p w14:paraId="5C706DB2" w14:textId="77777777" w:rsidR="00160586" w:rsidRDefault="00160586" w:rsidP="000D78DE">
            <w:r w:rsidRPr="00C1311F">
              <w:lastRenderedPageBreak/>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3E1E6989" w14:textId="77777777" w:rsidR="00160586" w:rsidRDefault="00160586" w:rsidP="000D78DE">
            <w:pPr>
              <w:rPr>
                <w:lang w:val="kk-KZ"/>
              </w:rPr>
            </w:pPr>
          </w:p>
          <w:p w14:paraId="5178C80A" w14:textId="77777777" w:rsidR="00160586" w:rsidRDefault="00160586" w:rsidP="000D78DE">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Pr="00160586">
              <w:t>.</w:t>
            </w:r>
          </w:p>
          <w:p w14:paraId="6EF96EBE" w14:textId="77777777" w:rsidR="00160586" w:rsidRDefault="00160586" w:rsidP="000D78DE"/>
          <w:p w14:paraId="7A43E029" w14:textId="77777777" w:rsidR="00160586" w:rsidRDefault="00160586" w:rsidP="000D78DE"/>
          <w:p w14:paraId="3E3BBF7F" w14:textId="77777777" w:rsidR="00160586" w:rsidRDefault="00160586" w:rsidP="000D78DE">
            <w:r>
              <w:t>Сервисные лицензии должны включать в себя:</w:t>
            </w:r>
          </w:p>
          <w:p w14:paraId="27C07A09" w14:textId="77777777" w:rsidR="00160586" w:rsidRDefault="00160586" w:rsidP="000D78DE"/>
          <w:p w14:paraId="32EFB51C" w14:textId="77777777" w:rsidR="00160586" w:rsidRDefault="00160586" w:rsidP="000D78DE">
            <w:r w:rsidRPr="00413130">
              <w:t>Антивирусная защита - обновление сигнатур приложения от производителя не менее одного года.</w:t>
            </w:r>
          </w:p>
          <w:p w14:paraId="763687CA" w14:textId="77777777" w:rsidR="00160586" w:rsidRDefault="00160586" w:rsidP="000D78DE"/>
          <w:p w14:paraId="30FB8B57" w14:textId="77777777" w:rsidR="00160586" w:rsidRDefault="00160586" w:rsidP="000D78DE">
            <w:r w:rsidRPr="00413130">
              <w:t>Фильтрация веб-трафика – доступ к онлайн базе репутация производителя не менее одного года.</w:t>
            </w:r>
          </w:p>
          <w:p w14:paraId="2B847F05" w14:textId="77777777" w:rsidR="00160586" w:rsidRDefault="00160586" w:rsidP="000D78DE"/>
          <w:p w14:paraId="32344800" w14:textId="77777777" w:rsidR="00160586" w:rsidRDefault="00160586" w:rsidP="000D78DE">
            <w:r w:rsidRPr="00413130">
              <w:t>Защита от нежелательной корреспонденции(антиспам) – доступ к онлайн базе репутация производителя не менее одного года.</w:t>
            </w:r>
          </w:p>
          <w:p w14:paraId="12930EAB" w14:textId="77777777" w:rsidR="00160586" w:rsidRDefault="00160586" w:rsidP="000D78DE"/>
          <w:p w14:paraId="2E561CE5" w14:textId="77777777" w:rsidR="00160586" w:rsidRDefault="00160586" w:rsidP="000D78DE">
            <w:proofErr w:type="spellStart"/>
            <w:r w:rsidRPr="00413130">
              <w:t>FortiSandbox</w:t>
            </w:r>
            <w:proofErr w:type="spellEnd"/>
            <w:r w:rsidRPr="00413130">
              <w:t xml:space="preserve"> </w:t>
            </w:r>
            <w:proofErr w:type="spellStart"/>
            <w:r w:rsidRPr="00413130">
              <w:t>Cloud</w:t>
            </w:r>
            <w:proofErr w:type="spellEnd"/>
            <w:r w:rsidRPr="00413130">
              <w:t xml:space="preserve"> — это решение для выявления продвинутых угроз, выполняющее динамический анализ для идентификации ранее неизвестного вредоносного ПО. Актуальные данные, созданные «песочницей» </w:t>
            </w:r>
            <w:proofErr w:type="spellStart"/>
            <w:r w:rsidRPr="00413130">
              <w:t>FortiCloud</w:t>
            </w:r>
            <w:proofErr w:type="spellEnd"/>
            <w:r w:rsidRPr="00413130">
              <w:t xml:space="preserve"> </w:t>
            </w:r>
            <w:proofErr w:type="spellStart"/>
            <w:r w:rsidRPr="00413130">
              <w:t>Sandbox</w:t>
            </w:r>
            <w:proofErr w:type="spellEnd"/>
            <w:r w:rsidRPr="00413130">
              <w:t>, поступают в системы профилактической проверки внутри сети для обезвреживания угрозы.</w:t>
            </w:r>
          </w:p>
          <w:p w14:paraId="5416FCDD" w14:textId="77777777" w:rsidR="00160586" w:rsidRDefault="00160586" w:rsidP="000D78DE"/>
          <w:p w14:paraId="26A03EFB" w14:textId="6B8619E8" w:rsidR="00160586" w:rsidRPr="00160586" w:rsidRDefault="00160586" w:rsidP="000D78DE">
            <w:r w:rsidRPr="00413130">
              <w:t xml:space="preserve">Служба </w:t>
            </w:r>
            <w:proofErr w:type="spellStart"/>
            <w:r w:rsidRPr="00413130">
              <w:t>FortiCare</w:t>
            </w:r>
            <w:proofErr w:type="spellEnd"/>
            <w:r w:rsidRPr="00413130">
              <w:t xml:space="preserve"> – техническая поддержка от производителя</w:t>
            </w:r>
            <w:r w:rsidRPr="00160586">
              <w:t>.</w:t>
            </w:r>
          </w:p>
          <w:p w14:paraId="59F4CB45" w14:textId="77777777" w:rsidR="00160586" w:rsidRDefault="00160586" w:rsidP="000D78DE"/>
          <w:p w14:paraId="351BD9F4" w14:textId="77777777" w:rsidR="00160586" w:rsidRDefault="00160586" w:rsidP="000D78DE"/>
          <w:p w14:paraId="275A4355" w14:textId="77777777" w:rsidR="00160586" w:rsidRDefault="00160586" w:rsidP="000D78DE">
            <w:r w:rsidRPr="00D82C1F">
              <w:rPr>
                <w:lang w:val="kk-KZ"/>
              </w:rPr>
              <w:t xml:space="preserve">Ежегодные лицензии на право пользования программно-аппаратным комплексом Fortinet </w:t>
            </w:r>
            <w:r>
              <w:rPr>
                <w:lang w:val="en-US"/>
              </w:rPr>
              <w:t>FortiGate</w:t>
            </w:r>
            <w:r w:rsidRPr="008E615B">
              <w:t xml:space="preserve"> </w:t>
            </w:r>
            <w:r>
              <w:t>12</w:t>
            </w:r>
            <w:r w:rsidRPr="004475BD">
              <w:t>0</w:t>
            </w:r>
            <w:r>
              <w:rPr>
                <w:lang w:val="en-US"/>
              </w:rPr>
              <w:t>G</w:t>
            </w:r>
            <w:r w:rsidRPr="008E615B">
              <w:t>:</w:t>
            </w:r>
          </w:p>
          <w:p w14:paraId="4494EE75" w14:textId="77777777" w:rsidR="00160586" w:rsidRDefault="00160586" w:rsidP="000D78DE"/>
          <w:p w14:paraId="3272A372" w14:textId="208CDAAB" w:rsidR="00160586" w:rsidRPr="00160586" w:rsidRDefault="00160586" w:rsidP="000D78DE">
            <w:r>
              <w:rPr>
                <w:lang w:val="en-US"/>
              </w:rPr>
              <w:t xml:space="preserve">13 </w:t>
            </w:r>
            <w:proofErr w:type="spellStart"/>
            <w:r>
              <w:t>шт</w:t>
            </w:r>
            <w:proofErr w:type="spellEnd"/>
          </w:p>
        </w:tc>
      </w:tr>
      <w:tr w:rsidR="00B722D6" w:rsidRPr="00C621B8" w14:paraId="68A0D05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5EC266" w14:textId="091C37DE" w:rsidR="00B722D6" w:rsidRDefault="00B722D6" w:rsidP="00B722D6">
            <w:proofErr w:type="spellStart"/>
            <w:r w:rsidRPr="00B722D6">
              <w:rPr>
                <w:lang w:val="uk-UA"/>
              </w:rPr>
              <w:lastRenderedPageBreak/>
              <w:t>Технические</w:t>
            </w:r>
            <w:proofErr w:type="spellEnd"/>
            <w:r w:rsidRPr="00B722D6">
              <w:rPr>
                <w:lang w:val="uk-UA"/>
              </w:rPr>
              <w:t xml:space="preserve"> </w:t>
            </w:r>
            <w:proofErr w:type="spellStart"/>
            <w:r w:rsidRPr="00B722D6">
              <w:rPr>
                <w:lang w:val="uk-UA"/>
              </w:rPr>
              <w:t>требования</w:t>
            </w:r>
            <w:proofErr w:type="spellEnd"/>
            <w:r w:rsidRPr="00B722D6">
              <w:rPr>
                <w:lang w:val="uk-UA"/>
              </w:rPr>
              <w:t xml:space="preserve"> на </w:t>
            </w:r>
            <w:proofErr w:type="spellStart"/>
            <w:r w:rsidRPr="00B722D6">
              <w:rPr>
                <w:lang w:val="uk-UA"/>
              </w:rPr>
              <w:t>оказание</w:t>
            </w:r>
            <w:proofErr w:type="spellEnd"/>
            <w:r w:rsidRPr="00B722D6">
              <w:rPr>
                <w:lang w:val="uk-UA"/>
              </w:rPr>
              <w:t xml:space="preserve"> услуг по </w:t>
            </w:r>
            <w:proofErr w:type="spellStart"/>
            <w:r w:rsidRPr="00B722D6">
              <w:rPr>
                <w:lang w:val="uk-UA"/>
              </w:rPr>
              <w:t>продлению</w:t>
            </w:r>
            <w:proofErr w:type="spellEnd"/>
            <w:r w:rsidRPr="00B722D6">
              <w:rPr>
                <w:lang w:val="uk-UA"/>
              </w:rPr>
              <w:t xml:space="preserve"> </w:t>
            </w:r>
            <w:proofErr w:type="spellStart"/>
            <w:r w:rsidRPr="00B722D6">
              <w:rPr>
                <w:lang w:val="uk-UA"/>
              </w:rPr>
              <w:t>технической</w:t>
            </w:r>
            <w:proofErr w:type="spellEnd"/>
            <w:r w:rsidRPr="00B722D6">
              <w:rPr>
                <w:lang w:val="uk-UA"/>
              </w:rPr>
              <w:t xml:space="preserve"> </w:t>
            </w:r>
            <w:proofErr w:type="spellStart"/>
            <w:r w:rsidRPr="00B722D6">
              <w:rPr>
                <w:lang w:val="uk-UA"/>
              </w:rPr>
              <w:t>поддержки</w:t>
            </w:r>
            <w:proofErr w:type="spellEnd"/>
            <w:r w:rsidRPr="00B722D6">
              <w:rPr>
                <w:lang w:val="uk-UA"/>
              </w:rPr>
              <w:t xml:space="preserve"> </w:t>
            </w:r>
            <w:proofErr w:type="spellStart"/>
            <w:r w:rsidRPr="00B722D6">
              <w:rPr>
                <w:lang w:val="uk-UA"/>
              </w:rPr>
              <w:t>оборудования</w:t>
            </w:r>
            <w:proofErr w:type="spellEnd"/>
            <w:r w:rsidRPr="00B722D6">
              <w:rPr>
                <w:lang w:val="uk-UA"/>
              </w:rPr>
              <w:t xml:space="preserve"> </w:t>
            </w:r>
            <w:proofErr w:type="spellStart"/>
            <w:r w:rsidRPr="00B722D6">
              <w:rPr>
                <w:lang w:val="uk-UA"/>
              </w:rPr>
              <w:t>FortiSwitch</w:t>
            </w:r>
            <w:proofErr w:type="spellEnd"/>
            <w:r w:rsidRPr="00B722D6">
              <w:rPr>
                <w:lang w:val="uk-UA"/>
              </w:rPr>
              <w:t xml:space="preserve"> 148F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1058BFFF" w14:textId="77777777" w:rsidR="00B722D6" w:rsidRPr="00715B26" w:rsidRDefault="00B722D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B495EB" w14:textId="77777777" w:rsidR="00B722D6" w:rsidRDefault="00B722D6" w:rsidP="00B722D6">
            <w:pPr>
              <w:pStyle w:val="2"/>
              <w:numPr>
                <w:ilvl w:val="0"/>
                <w:numId w:val="0"/>
              </w:numPr>
              <w:jc w:val="center"/>
            </w:pPr>
            <w:r w:rsidRPr="00B722D6">
              <w:t xml:space="preserve">Технические требования на оказание услуг по продлению технической поддержки оборудования </w:t>
            </w:r>
            <w:proofErr w:type="spellStart"/>
            <w:r w:rsidRPr="00B722D6">
              <w:t>FortiSwitch</w:t>
            </w:r>
            <w:proofErr w:type="spellEnd"/>
            <w:r w:rsidRPr="00B722D6">
              <w:t xml:space="preserve"> 148F</w:t>
            </w:r>
          </w:p>
          <w:p w14:paraId="6ADECCB5" w14:textId="77777777" w:rsidR="00B722D6" w:rsidRDefault="00B722D6" w:rsidP="00B722D6"/>
          <w:p w14:paraId="6BD0385E" w14:textId="77777777" w:rsidR="00B722D6" w:rsidRDefault="00B722D6" w:rsidP="00B722D6">
            <w:r w:rsidRPr="00413130">
              <w:t>Условия предоставления технической поддержки и продления лицензий</w:t>
            </w:r>
            <w:r>
              <w:t>:</w:t>
            </w:r>
          </w:p>
          <w:p w14:paraId="1E5A4347" w14:textId="77777777" w:rsidR="00B722D6" w:rsidRDefault="00B722D6" w:rsidP="00B722D6"/>
          <w:p w14:paraId="59608A1E" w14:textId="77777777" w:rsidR="00B722D6" w:rsidRDefault="00B722D6" w:rsidP="00B722D6">
            <w:pPr>
              <w:rPr>
                <w:spacing w:val="-1"/>
              </w:rPr>
            </w:pPr>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6F6A9158" w14:textId="77777777" w:rsidR="00B722D6" w:rsidRDefault="00B722D6" w:rsidP="00B722D6"/>
          <w:p w14:paraId="42CB9115" w14:textId="77777777" w:rsidR="00B722D6" w:rsidRDefault="00B722D6" w:rsidP="00B722D6">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37CA6A60" w14:textId="77777777" w:rsidR="00B722D6" w:rsidRDefault="00B722D6" w:rsidP="00B722D6"/>
          <w:p w14:paraId="60FE386C" w14:textId="77777777" w:rsidR="00B722D6" w:rsidRDefault="00B722D6" w:rsidP="00B722D6">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64F7AFA6" w14:textId="77777777" w:rsidR="00B722D6" w:rsidRDefault="00B722D6" w:rsidP="00B722D6"/>
          <w:p w14:paraId="1E08CFAE" w14:textId="77777777" w:rsidR="00B722D6" w:rsidRDefault="00B722D6" w:rsidP="00B722D6">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4013E9F9" w14:textId="77777777" w:rsidR="00B722D6" w:rsidRDefault="00B722D6" w:rsidP="00B722D6"/>
          <w:p w14:paraId="46F276C4" w14:textId="77777777" w:rsidR="00B722D6" w:rsidRDefault="00B722D6" w:rsidP="00B722D6"/>
          <w:p w14:paraId="2D0AD551" w14:textId="77777777" w:rsidR="00B722D6" w:rsidRDefault="00B722D6" w:rsidP="00B722D6">
            <w:r>
              <w:t>Требования к лицензии:</w:t>
            </w:r>
          </w:p>
          <w:p w14:paraId="6CB273F5" w14:textId="77777777" w:rsidR="00B722D6" w:rsidRDefault="00B722D6" w:rsidP="00B722D6"/>
          <w:p w14:paraId="66AC88D5" w14:textId="77777777" w:rsidR="00B722D6" w:rsidRDefault="00B722D6" w:rsidP="00B722D6">
            <w:r w:rsidRPr="00C1311F">
              <w:t>Возможность обращения в техническую поддержку для решения проблем, связанных с эксплуатацией программно-аппаратного комплекса.</w:t>
            </w:r>
          </w:p>
          <w:p w14:paraId="188EEB53" w14:textId="77777777" w:rsidR="00B722D6" w:rsidRDefault="00B722D6" w:rsidP="00B722D6"/>
          <w:p w14:paraId="26061D59" w14:textId="77777777" w:rsidR="00B722D6" w:rsidRDefault="00B722D6" w:rsidP="00B722D6">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533834D8" w14:textId="77777777" w:rsidR="00B722D6" w:rsidRDefault="00B722D6" w:rsidP="00B722D6"/>
          <w:p w14:paraId="41D722A5" w14:textId="77777777" w:rsidR="00B722D6" w:rsidRDefault="00B722D6" w:rsidP="00B722D6">
            <w:r w:rsidRPr="00413130">
              <w:lastRenderedPageBreak/>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Pr="00B722D6">
              <w:t>.</w:t>
            </w:r>
          </w:p>
          <w:p w14:paraId="70C65665" w14:textId="77777777" w:rsidR="00B722D6" w:rsidRDefault="00B722D6" w:rsidP="00B722D6"/>
          <w:p w14:paraId="405B349A" w14:textId="77777777" w:rsidR="00B722D6" w:rsidRDefault="00B722D6" w:rsidP="00B722D6"/>
          <w:p w14:paraId="7045CF29" w14:textId="77777777" w:rsidR="00B722D6" w:rsidRDefault="00B722D6" w:rsidP="00B722D6">
            <w:r>
              <w:t>Сервисные лицензии должны включать в себя:</w:t>
            </w:r>
          </w:p>
          <w:p w14:paraId="68FA9647" w14:textId="77777777" w:rsidR="00B722D6" w:rsidRDefault="00B722D6" w:rsidP="00B722D6"/>
          <w:p w14:paraId="07AC8F6D" w14:textId="77777777" w:rsidR="00B722D6" w:rsidRDefault="00B722D6" w:rsidP="00B722D6">
            <w:r w:rsidRPr="00862AE6">
              <w:t xml:space="preserve">Служба </w:t>
            </w:r>
            <w:proofErr w:type="spellStart"/>
            <w:r w:rsidRPr="00862AE6">
              <w:t>FortiCare</w:t>
            </w:r>
            <w:proofErr w:type="spellEnd"/>
            <w:r w:rsidRPr="00862AE6">
              <w:t xml:space="preserve"> – техническая поддержка от производителя</w:t>
            </w:r>
          </w:p>
          <w:p w14:paraId="5F046D77" w14:textId="77777777" w:rsidR="00B722D6" w:rsidRDefault="00B722D6" w:rsidP="00B722D6"/>
          <w:p w14:paraId="3524A316" w14:textId="77777777" w:rsidR="00B722D6" w:rsidRDefault="00B722D6" w:rsidP="00B722D6"/>
          <w:p w14:paraId="7E82741A" w14:textId="77777777" w:rsidR="00B722D6" w:rsidRDefault="00B722D6" w:rsidP="00B722D6">
            <w:r w:rsidRPr="00D82C1F">
              <w:rPr>
                <w:lang w:val="kk-KZ"/>
              </w:rPr>
              <w:t xml:space="preserve">Ежегодные лицензии на право пользования программно-аппаратным комплексом Fortinet </w:t>
            </w:r>
            <w:proofErr w:type="spellStart"/>
            <w:r>
              <w:rPr>
                <w:lang w:val="en-US"/>
              </w:rPr>
              <w:t>FortiSwitch</w:t>
            </w:r>
            <w:proofErr w:type="spellEnd"/>
            <w:r w:rsidRPr="008E615B">
              <w:t xml:space="preserve"> </w:t>
            </w:r>
            <w:r>
              <w:t>1</w:t>
            </w:r>
            <w:r w:rsidRPr="008E615B">
              <w:t>48</w:t>
            </w:r>
            <w:r>
              <w:t>F</w:t>
            </w:r>
            <w:r w:rsidRPr="008E615B">
              <w:t>:</w:t>
            </w:r>
          </w:p>
          <w:p w14:paraId="247A1E7B" w14:textId="77777777" w:rsidR="00B722D6" w:rsidRDefault="00B722D6" w:rsidP="00B722D6"/>
          <w:p w14:paraId="37CA580E" w14:textId="7BF02561" w:rsidR="00B722D6" w:rsidRPr="00B722D6" w:rsidRDefault="00B722D6" w:rsidP="00B722D6">
            <w:r>
              <w:rPr>
                <w:lang w:val="en-US"/>
              </w:rPr>
              <w:t xml:space="preserve">13 </w:t>
            </w:r>
            <w:proofErr w:type="spellStart"/>
            <w:r>
              <w:t>шт</w:t>
            </w:r>
            <w:proofErr w:type="spellEnd"/>
          </w:p>
        </w:tc>
      </w:tr>
      <w:tr w:rsidR="00B722D6" w:rsidRPr="00C621B8" w14:paraId="21398C8D"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C4D75" w14:textId="3D038B6F" w:rsidR="00B722D6" w:rsidRDefault="00B722D6" w:rsidP="00B722D6">
            <w:proofErr w:type="spellStart"/>
            <w:r w:rsidRPr="00B722D6">
              <w:rPr>
                <w:lang w:val="uk-UA"/>
              </w:rPr>
              <w:lastRenderedPageBreak/>
              <w:t>Технические</w:t>
            </w:r>
            <w:proofErr w:type="spellEnd"/>
            <w:r w:rsidRPr="00B722D6">
              <w:rPr>
                <w:lang w:val="uk-UA"/>
              </w:rPr>
              <w:t xml:space="preserve"> </w:t>
            </w:r>
            <w:proofErr w:type="spellStart"/>
            <w:r w:rsidRPr="00B722D6">
              <w:rPr>
                <w:lang w:val="uk-UA"/>
              </w:rPr>
              <w:t>требования</w:t>
            </w:r>
            <w:proofErr w:type="spellEnd"/>
            <w:r w:rsidRPr="00B722D6">
              <w:rPr>
                <w:lang w:val="uk-UA"/>
              </w:rPr>
              <w:t xml:space="preserve"> на </w:t>
            </w:r>
            <w:proofErr w:type="spellStart"/>
            <w:r w:rsidRPr="00B722D6">
              <w:rPr>
                <w:lang w:val="uk-UA"/>
              </w:rPr>
              <w:t>оказание</w:t>
            </w:r>
            <w:proofErr w:type="spellEnd"/>
            <w:r w:rsidRPr="00B722D6">
              <w:rPr>
                <w:lang w:val="uk-UA"/>
              </w:rPr>
              <w:t xml:space="preserve"> услуг по </w:t>
            </w:r>
            <w:proofErr w:type="spellStart"/>
            <w:r w:rsidRPr="00B722D6">
              <w:rPr>
                <w:lang w:val="uk-UA"/>
              </w:rPr>
              <w:t>продлению</w:t>
            </w:r>
            <w:proofErr w:type="spellEnd"/>
            <w:r w:rsidRPr="00B722D6">
              <w:rPr>
                <w:lang w:val="uk-UA"/>
              </w:rPr>
              <w:t xml:space="preserve"> </w:t>
            </w:r>
            <w:proofErr w:type="spellStart"/>
            <w:r w:rsidRPr="00B722D6">
              <w:rPr>
                <w:lang w:val="uk-UA"/>
              </w:rPr>
              <w:t>технической</w:t>
            </w:r>
            <w:proofErr w:type="spellEnd"/>
            <w:r w:rsidRPr="00B722D6">
              <w:rPr>
                <w:lang w:val="uk-UA"/>
              </w:rPr>
              <w:t xml:space="preserve"> </w:t>
            </w:r>
            <w:proofErr w:type="spellStart"/>
            <w:r w:rsidRPr="00B722D6">
              <w:rPr>
                <w:lang w:val="uk-UA"/>
              </w:rPr>
              <w:t>поддержки</w:t>
            </w:r>
            <w:proofErr w:type="spellEnd"/>
            <w:r w:rsidRPr="00B722D6">
              <w:rPr>
                <w:lang w:val="uk-UA"/>
              </w:rPr>
              <w:t xml:space="preserve"> </w:t>
            </w:r>
            <w:proofErr w:type="spellStart"/>
            <w:r w:rsidRPr="00B722D6">
              <w:rPr>
                <w:lang w:val="uk-UA"/>
              </w:rPr>
              <w:t>оборудования</w:t>
            </w:r>
            <w:proofErr w:type="spellEnd"/>
            <w:r w:rsidRPr="00B722D6">
              <w:rPr>
                <w:lang w:val="uk-UA"/>
              </w:rPr>
              <w:t xml:space="preserve"> </w:t>
            </w:r>
            <w:proofErr w:type="spellStart"/>
            <w:r w:rsidRPr="00B722D6">
              <w:rPr>
                <w:lang w:val="uk-UA"/>
              </w:rPr>
              <w:t>FortiSIEM</w:t>
            </w:r>
            <w:proofErr w:type="spellEnd"/>
            <w:r w:rsidRPr="00B722D6">
              <w:rPr>
                <w:lang w:val="uk-UA"/>
              </w:rPr>
              <w:t xml:space="preserve"> 2000G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744A9B7A" w14:textId="77777777" w:rsidR="00B722D6" w:rsidRPr="00715B26" w:rsidRDefault="00B722D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F7FD335" w14:textId="77777777" w:rsidR="00B722D6" w:rsidRDefault="00B722D6" w:rsidP="00B722D6">
            <w:pPr>
              <w:pStyle w:val="2"/>
              <w:numPr>
                <w:ilvl w:val="0"/>
                <w:numId w:val="0"/>
              </w:numPr>
              <w:jc w:val="center"/>
            </w:pPr>
            <w:r w:rsidRPr="00B722D6">
              <w:t xml:space="preserve">Технические требования на оказание услуг по продлению технической поддержки оборудования </w:t>
            </w:r>
            <w:proofErr w:type="spellStart"/>
            <w:r w:rsidRPr="00B722D6">
              <w:t>FortiSIEM</w:t>
            </w:r>
            <w:proofErr w:type="spellEnd"/>
            <w:r w:rsidRPr="00B722D6">
              <w:t xml:space="preserve"> 2000G</w:t>
            </w:r>
          </w:p>
          <w:p w14:paraId="0B8E1ACE" w14:textId="77777777" w:rsidR="00B722D6" w:rsidRDefault="00B722D6" w:rsidP="00B722D6"/>
          <w:p w14:paraId="58BE2B90" w14:textId="77777777" w:rsidR="00B722D6" w:rsidRDefault="00B722D6" w:rsidP="00B722D6">
            <w:r w:rsidRPr="00413130">
              <w:t>Условия предоставления технической поддержки и продления лицензий</w:t>
            </w:r>
            <w:r>
              <w:t>:</w:t>
            </w:r>
          </w:p>
          <w:p w14:paraId="3B929BDB" w14:textId="77777777" w:rsidR="00B722D6" w:rsidRDefault="00B722D6" w:rsidP="00B722D6"/>
          <w:p w14:paraId="11B12A78" w14:textId="77777777" w:rsidR="00B722D6" w:rsidRDefault="00B722D6" w:rsidP="00B722D6">
            <w:pPr>
              <w:rPr>
                <w:spacing w:val="-1"/>
              </w:rPr>
            </w:pPr>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0AA401B2" w14:textId="77777777" w:rsidR="00B722D6" w:rsidRDefault="00B722D6" w:rsidP="00B722D6"/>
          <w:p w14:paraId="5DA62568" w14:textId="77777777" w:rsidR="00B722D6" w:rsidRDefault="00B722D6" w:rsidP="00B722D6">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7C9F586D" w14:textId="77777777" w:rsidR="00B722D6" w:rsidRDefault="00B722D6" w:rsidP="00B722D6"/>
          <w:p w14:paraId="6573ADBA" w14:textId="77777777" w:rsidR="00B722D6" w:rsidRDefault="00B722D6" w:rsidP="00B722D6">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2628D4F9" w14:textId="77777777" w:rsidR="00B722D6" w:rsidRDefault="00B722D6" w:rsidP="00B722D6"/>
          <w:p w14:paraId="01A827E7" w14:textId="77777777" w:rsidR="00B722D6" w:rsidRDefault="00B722D6" w:rsidP="00B722D6">
            <w:r w:rsidRPr="00413130">
              <w:t xml:space="preserve">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w:t>
            </w:r>
            <w:r w:rsidRPr="00413130">
              <w:lastRenderedPageBreak/>
              <w:t>момента приобретения лицензии; включая праздничные и выходные дни, учитывая часовой пояс.</w:t>
            </w:r>
          </w:p>
          <w:p w14:paraId="0AC83004" w14:textId="77777777" w:rsidR="00B722D6" w:rsidRDefault="00B722D6" w:rsidP="00B722D6"/>
          <w:p w14:paraId="7C8FE52F" w14:textId="77777777" w:rsidR="00B722D6" w:rsidRDefault="00B722D6" w:rsidP="00B722D6"/>
          <w:p w14:paraId="5A333DCD" w14:textId="77777777" w:rsidR="00B722D6" w:rsidRDefault="00B722D6" w:rsidP="00B722D6">
            <w:r>
              <w:t>Требования к лицензии:</w:t>
            </w:r>
          </w:p>
          <w:p w14:paraId="1A024791" w14:textId="77777777" w:rsidR="00B722D6" w:rsidRDefault="00B722D6" w:rsidP="00B722D6"/>
          <w:p w14:paraId="36A4F60F" w14:textId="77777777" w:rsidR="00B722D6" w:rsidRDefault="00B722D6" w:rsidP="00B722D6">
            <w:r w:rsidRPr="00C1311F">
              <w:t>Возможность обращения в техническую поддержку для решения проблем, связанных с эксплуатацией программно-аппаратного комплекса.</w:t>
            </w:r>
          </w:p>
          <w:p w14:paraId="668A3948" w14:textId="77777777" w:rsidR="00B722D6" w:rsidRDefault="00B722D6" w:rsidP="00B722D6"/>
          <w:p w14:paraId="5B606343" w14:textId="77777777" w:rsidR="00B722D6" w:rsidRDefault="00B722D6" w:rsidP="00B722D6">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1C68EC3D" w14:textId="77777777" w:rsidR="00B722D6" w:rsidRDefault="00B722D6" w:rsidP="00B722D6"/>
          <w:p w14:paraId="6CC078C4" w14:textId="77777777" w:rsidR="00B722D6" w:rsidRDefault="00B722D6" w:rsidP="00B722D6">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Pr="00800F55">
              <w:t>.</w:t>
            </w:r>
          </w:p>
          <w:p w14:paraId="46097145" w14:textId="77777777" w:rsidR="0028332C" w:rsidRDefault="0028332C" w:rsidP="00B722D6"/>
          <w:p w14:paraId="2AF70369" w14:textId="77777777" w:rsidR="0028332C" w:rsidRDefault="0028332C" w:rsidP="00B722D6"/>
          <w:p w14:paraId="08E54C2D" w14:textId="77777777" w:rsidR="0028332C" w:rsidRDefault="0028332C" w:rsidP="00B722D6">
            <w:r>
              <w:t>Сервисные лицензии должны включать в себя:</w:t>
            </w:r>
          </w:p>
          <w:p w14:paraId="4AA0666C" w14:textId="77777777" w:rsidR="0028332C" w:rsidRDefault="0028332C" w:rsidP="00B722D6"/>
          <w:p w14:paraId="33D9EF2D" w14:textId="77777777" w:rsidR="0028332C" w:rsidRDefault="0028332C" w:rsidP="00B722D6">
            <w:r w:rsidRPr="00800F55">
              <w:t xml:space="preserve">Служба </w:t>
            </w:r>
            <w:proofErr w:type="spellStart"/>
            <w:r w:rsidRPr="00800F55">
              <w:t>FortiCare</w:t>
            </w:r>
            <w:proofErr w:type="spellEnd"/>
            <w:r w:rsidRPr="00800F55">
              <w:t xml:space="preserve"> </w:t>
            </w:r>
            <w:proofErr w:type="spellStart"/>
            <w:r w:rsidRPr="00800F55">
              <w:t>Hardware</w:t>
            </w:r>
            <w:proofErr w:type="spellEnd"/>
            <w:r w:rsidRPr="00800F55">
              <w:t xml:space="preserve"> </w:t>
            </w:r>
            <w:proofErr w:type="spellStart"/>
            <w:r w:rsidRPr="00800F55">
              <w:t>Appliance</w:t>
            </w:r>
            <w:proofErr w:type="spellEnd"/>
            <w:r w:rsidRPr="00800F55">
              <w:t xml:space="preserve"> </w:t>
            </w:r>
            <w:proofErr w:type="spellStart"/>
            <w:r w:rsidRPr="00800F55">
              <w:t>only</w:t>
            </w:r>
            <w:proofErr w:type="spellEnd"/>
            <w:r w:rsidRPr="00800F55">
              <w:t xml:space="preserve"> – техническая поддержка от производителя.</w:t>
            </w:r>
          </w:p>
          <w:p w14:paraId="4260EF81" w14:textId="77777777" w:rsidR="0028332C" w:rsidRDefault="0028332C" w:rsidP="00B722D6"/>
          <w:p w14:paraId="4D8209B8" w14:textId="61248FDD" w:rsidR="0028332C" w:rsidRPr="0028332C" w:rsidRDefault="0028332C" w:rsidP="00B722D6">
            <w:r w:rsidRPr="00800F55">
              <w:t xml:space="preserve">Служба </w:t>
            </w:r>
            <w:proofErr w:type="spellStart"/>
            <w:r w:rsidRPr="00800F55">
              <w:t>FortiCare</w:t>
            </w:r>
            <w:proofErr w:type="spellEnd"/>
            <w:r w:rsidRPr="00800F55">
              <w:t xml:space="preserve"> Premium </w:t>
            </w:r>
            <w:proofErr w:type="spellStart"/>
            <w:r w:rsidRPr="00800F55">
              <w:t>License</w:t>
            </w:r>
            <w:proofErr w:type="spellEnd"/>
            <w:r w:rsidRPr="00800F55">
              <w:t xml:space="preserve"> Support – техническая поддержка от производителя на 100 поинтов для </w:t>
            </w:r>
            <w:proofErr w:type="spellStart"/>
            <w:r w:rsidRPr="00800F55">
              <w:t>FortiSIEM</w:t>
            </w:r>
            <w:proofErr w:type="spellEnd"/>
            <w:r w:rsidRPr="0028332C">
              <w:t>.</w:t>
            </w:r>
          </w:p>
          <w:p w14:paraId="0B6E5A52" w14:textId="77777777" w:rsidR="0028332C" w:rsidRDefault="0028332C" w:rsidP="00B722D6"/>
          <w:p w14:paraId="3F2068C6" w14:textId="77777777" w:rsidR="0028332C" w:rsidRDefault="0028332C" w:rsidP="00B722D6"/>
          <w:p w14:paraId="3C9592CE" w14:textId="77777777" w:rsidR="0028332C" w:rsidRPr="0028332C" w:rsidRDefault="0028332C" w:rsidP="00B722D6">
            <w:r w:rsidRPr="00D82C1F">
              <w:rPr>
                <w:lang w:val="kk-KZ"/>
              </w:rPr>
              <w:t xml:space="preserve">Ежегодные лицензии на право пользования программно-аппаратным комплексом Fortinet </w:t>
            </w:r>
            <w:proofErr w:type="spellStart"/>
            <w:r>
              <w:rPr>
                <w:lang w:val="en-US"/>
              </w:rPr>
              <w:t>FortiSIEM</w:t>
            </w:r>
            <w:proofErr w:type="spellEnd"/>
            <w:r w:rsidRPr="008E615B">
              <w:t xml:space="preserve"> 2000</w:t>
            </w:r>
            <w:r>
              <w:rPr>
                <w:lang w:val="en-US"/>
              </w:rPr>
              <w:t>G</w:t>
            </w:r>
            <w:r w:rsidRPr="0028332C">
              <w:t>:</w:t>
            </w:r>
          </w:p>
          <w:p w14:paraId="655B43F4" w14:textId="77777777" w:rsidR="0028332C" w:rsidRDefault="0028332C" w:rsidP="00B722D6"/>
          <w:p w14:paraId="6D3B9114" w14:textId="52099CAE" w:rsidR="0028332C" w:rsidRPr="00B722D6" w:rsidRDefault="0028332C" w:rsidP="00B722D6">
            <w:r>
              <w:rPr>
                <w:lang w:val="en-US"/>
              </w:rPr>
              <w:t xml:space="preserve">1 </w:t>
            </w:r>
            <w:proofErr w:type="spellStart"/>
            <w:r>
              <w:t>шт</w:t>
            </w:r>
            <w:proofErr w:type="spellEnd"/>
          </w:p>
        </w:tc>
      </w:tr>
      <w:tr w:rsidR="0028332C" w:rsidRPr="00C621B8" w14:paraId="6F265DA5"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A0D8D0" w14:textId="347A2C55" w:rsidR="0028332C" w:rsidRDefault="0028332C" w:rsidP="0028332C">
            <w:proofErr w:type="spellStart"/>
            <w:r w:rsidRPr="0028332C">
              <w:rPr>
                <w:lang w:val="uk-UA"/>
              </w:rPr>
              <w:lastRenderedPageBreak/>
              <w:t>Технические</w:t>
            </w:r>
            <w:proofErr w:type="spellEnd"/>
            <w:r w:rsidRPr="0028332C">
              <w:rPr>
                <w:lang w:val="uk-UA"/>
              </w:rPr>
              <w:t xml:space="preserve"> </w:t>
            </w:r>
            <w:proofErr w:type="spellStart"/>
            <w:r w:rsidRPr="0028332C">
              <w:rPr>
                <w:lang w:val="uk-UA"/>
              </w:rPr>
              <w:t>требования</w:t>
            </w:r>
            <w:proofErr w:type="spellEnd"/>
            <w:r w:rsidRPr="0028332C">
              <w:rPr>
                <w:lang w:val="uk-UA"/>
              </w:rPr>
              <w:t xml:space="preserve"> на </w:t>
            </w:r>
            <w:proofErr w:type="spellStart"/>
            <w:r w:rsidRPr="0028332C">
              <w:rPr>
                <w:lang w:val="uk-UA"/>
              </w:rPr>
              <w:t>оказание</w:t>
            </w:r>
            <w:proofErr w:type="spellEnd"/>
            <w:r w:rsidRPr="0028332C">
              <w:rPr>
                <w:lang w:val="uk-UA"/>
              </w:rPr>
              <w:t xml:space="preserve"> услуг по </w:t>
            </w:r>
            <w:proofErr w:type="spellStart"/>
            <w:r w:rsidRPr="0028332C">
              <w:rPr>
                <w:lang w:val="uk-UA"/>
              </w:rPr>
              <w:t>продлению</w:t>
            </w:r>
            <w:proofErr w:type="spellEnd"/>
            <w:r w:rsidRPr="0028332C">
              <w:rPr>
                <w:lang w:val="uk-UA"/>
              </w:rPr>
              <w:t xml:space="preserve"> </w:t>
            </w:r>
            <w:proofErr w:type="spellStart"/>
            <w:r w:rsidRPr="0028332C">
              <w:rPr>
                <w:lang w:val="uk-UA"/>
              </w:rPr>
              <w:t>технической</w:t>
            </w:r>
            <w:proofErr w:type="spellEnd"/>
            <w:r w:rsidRPr="0028332C">
              <w:rPr>
                <w:lang w:val="uk-UA"/>
              </w:rPr>
              <w:t xml:space="preserve"> </w:t>
            </w:r>
            <w:proofErr w:type="spellStart"/>
            <w:r w:rsidRPr="0028332C">
              <w:rPr>
                <w:lang w:val="uk-UA"/>
              </w:rPr>
              <w:t>поддержки</w:t>
            </w:r>
            <w:proofErr w:type="spellEnd"/>
            <w:r w:rsidRPr="0028332C">
              <w:rPr>
                <w:lang w:val="uk-UA"/>
              </w:rPr>
              <w:t xml:space="preserve"> </w:t>
            </w:r>
            <w:proofErr w:type="spellStart"/>
            <w:r w:rsidRPr="0028332C">
              <w:rPr>
                <w:lang w:val="uk-UA"/>
              </w:rPr>
              <w:t>оборудования</w:t>
            </w:r>
            <w:proofErr w:type="spellEnd"/>
            <w:r w:rsidRPr="0028332C">
              <w:rPr>
                <w:lang w:val="uk-UA"/>
              </w:rPr>
              <w:t xml:space="preserve"> </w:t>
            </w:r>
            <w:proofErr w:type="spellStart"/>
            <w:r w:rsidRPr="0028332C">
              <w:rPr>
                <w:lang w:val="uk-UA"/>
              </w:rPr>
              <w:t>FortiAnalyzer</w:t>
            </w:r>
            <w:proofErr w:type="spellEnd"/>
            <w:r w:rsidRPr="0028332C">
              <w:rPr>
                <w:lang w:val="uk-UA"/>
              </w:rPr>
              <w:t xml:space="preserve"> 150G </w:t>
            </w:r>
            <w:r>
              <w:rPr>
                <w:lang w:val="uk-UA"/>
              </w:rPr>
              <w:t>с о</w:t>
            </w:r>
            <w:r w:rsidRPr="00EA600A">
              <w:t>писание</w:t>
            </w:r>
            <w:r>
              <w:t>м</w:t>
            </w:r>
            <w:r w:rsidRPr="00EA600A">
              <w:t xml:space="preserve"> требуемых функциональных, технических, </w:t>
            </w:r>
            <w:r w:rsidRPr="00EA600A">
              <w:lastRenderedPageBreak/>
              <w:t>качественных, эксплуатационных и иных характеристик закупаемого товара</w:t>
            </w:r>
          </w:p>
          <w:p w14:paraId="4F4D3F93" w14:textId="77777777" w:rsidR="0028332C" w:rsidRPr="00715B26" w:rsidRDefault="0028332C"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42AAF12" w14:textId="77777777" w:rsidR="0028332C" w:rsidRDefault="0028332C" w:rsidP="0028332C">
            <w:pPr>
              <w:pStyle w:val="2"/>
              <w:numPr>
                <w:ilvl w:val="0"/>
                <w:numId w:val="0"/>
              </w:numPr>
              <w:jc w:val="center"/>
            </w:pPr>
            <w:r w:rsidRPr="0028332C">
              <w:lastRenderedPageBreak/>
              <w:t xml:space="preserve">Технические требования на оказание услуг по продлению технической поддержки оборудования </w:t>
            </w:r>
            <w:proofErr w:type="spellStart"/>
            <w:r w:rsidRPr="0028332C">
              <w:t>FortiAnalyzer</w:t>
            </w:r>
            <w:proofErr w:type="spellEnd"/>
            <w:r w:rsidRPr="0028332C">
              <w:t xml:space="preserve"> 150G</w:t>
            </w:r>
          </w:p>
          <w:p w14:paraId="7B13FD51" w14:textId="77777777" w:rsidR="0028332C" w:rsidRDefault="0028332C" w:rsidP="0028332C"/>
          <w:p w14:paraId="3C065FD8" w14:textId="77777777" w:rsidR="0028332C" w:rsidRDefault="0028332C" w:rsidP="0028332C">
            <w:r w:rsidRPr="00413130">
              <w:t>Условия предоставления технической поддержки и продления лицензий</w:t>
            </w:r>
            <w:r>
              <w:t>:</w:t>
            </w:r>
          </w:p>
          <w:p w14:paraId="679A9020" w14:textId="77777777" w:rsidR="0028332C" w:rsidRDefault="0028332C" w:rsidP="0028332C"/>
          <w:p w14:paraId="166C6B7C" w14:textId="77777777" w:rsidR="0028332C" w:rsidRDefault="0028332C" w:rsidP="0028332C">
            <w:pPr>
              <w:rPr>
                <w:spacing w:val="-1"/>
              </w:rPr>
            </w:pPr>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1597CDFE" w14:textId="77777777" w:rsidR="0028332C" w:rsidRDefault="0028332C" w:rsidP="0028332C"/>
          <w:p w14:paraId="5AFE2A80" w14:textId="77777777" w:rsidR="0028332C" w:rsidRDefault="0028332C" w:rsidP="0028332C">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24CB2E47" w14:textId="77777777" w:rsidR="0028332C" w:rsidRDefault="0028332C" w:rsidP="0028332C"/>
          <w:p w14:paraId="2D240CCF" w14:textId="77777777" w:rsidR="0028332C" w:rsidRDefault="0028332C" w:rsidP="0028332C">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7F27E177" w14:textId="77777777" w:rsidR="0028332C" w:rsidRDefault="0028332C" w:rsidP="0028332C"/>
          <w:p w14:paraId="50742AE8" w14:textId="77777777" w:rsidR="0028332C" w:rsidRDefault="0028332C" w:rsidP="0028332C">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5208AB6C" w14:textId="77777777" w:rsidR="0028332C" w:rsidRDefault="0028332C" w:rsidP="0028332C"/>
          <w:p w14:paraId="2A74B641" w14:textId="77777777" w:rsidR="0028332C" w:rsidRDefault="0028332C" w:rsidP="0028332C"/>
          <w:p w14:paraId="7622C3ED" w14:textId="77777777" w:rsidR="0028332C" w:rsidRDefault="0028332C" w:rsidP="0028332C">
            <w:r>
              <w:t>Требования к лицензии:</w:t>
            </w:r>
          </w:p>
          <w:p w14:paraId="13CC962D" w14:textId="77777777" w:rsidR="0028332C" w:rsidRDefault="0028332C" w:rsidP="0028332C"/>
          <w:p w14:paraId="7F4091D8" w14:textId="77777777" w:rsidR="0028332C" w:rsidRDefault="0028332C" w:rsidP="0028332C">
            <w:r w:rsidRPr="00C1311F">
              <w:t>Возможность обращения в техническую поддержку для решения проблем, связанных с эксплуатацией программно-аппаратного комплекса.</w:t>
            </w:r>
          </w:p>
          <w:p w14:paraId="7C1DA2BD" w14:textId="77777777" w:rsidR="0028332C" w:rsidRDefault="0028332C" w:rsidP="0028332C"/>
          <w:p w14:paraId="5930F1FC" w14:textId="77777777" w:rsidR="0028332C" w:rsidRDefault="0028332C" w:rsidP="0028332C">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7A2C525B" w14:textId="77777777" w:rsidR="0028332C" w:rsidRDefault="0028332C" w:rsidP="0028332C"/>
          <w:p w14:paraId="155A07EC" w14:textId="77777777" w:rsidR="0028332C" w:rsidRDefault="0028332C" w:rsidP="0028332C">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Pr="00541F88">
              <w:t>.</w:t>
            </w:r>
          </w:p>
          <w:p w14:paraId="12CBCB34" w14:textId="77777777" w:rsidR="0028332C" w:rsidRDefault="0028332C" w:rsidP="0028332C"/>
          <w:p w14:paraId="2BA2E879" w14:textId="77777777" w:rsidR="0028332C" w:rsidRDefault="0028332C" w:rsidP="0028332C"/>
          <w:p w14:paraId="75FC969D" w14:textId="77777777" w:rsidR="0028332C" w:rsidRDefault="0028332C" w:rsidP="0028332C">
            <w:r>
              <w:t>Сервисные лицензии должны включать в себя:</w:t>
            </w:r>
          </w:p>
          <w:p w14:paraId="697DBD76" w14:textId="77777777" w:rsidR="0028332C" w:rsidRDefault="0028332C" w:rsidP="0028332C"/>
          <w:p w14:paraId="626A978A" w14:textId="77777777" w:rsidR="0028332C" w:rsidRDefault="0028332C" w:rsidP="0028332C">
            <w:r w:rsidRPr="00862AE6">
              <w:t xml:space="preserve">Служба </w:t>
            </w:r>
            <w:proofErr w:type="spellStart"/>
            <w:r w:rsidRPr="00862AE6">
              <w:t>FortiCare</w:t>
            </w:r>
            <w:proofErr w:type="spellEnd"/>
            <w:r w:rsidRPr="00862AE6">
              <w:t xml:space="preserve"> – техническая поддержка от производителя</w:t>
            </w:r>
          </w:p>
          <w:p w14:paraId="14501132" w14:textId="77777777" w:rsidR="0028332C" w:rsidRDefault="0028332C" w:rsidP="0028332C"/>
          <w:p w14:paraId="3108B5C8" w14:textId="77777777" w:rsidR="0028332C" w:rsidRDefault="0028332C" w:rsidP="0028332C"/>
          <w:p w14:paraId="629A1FE6" w14:textId="77777777" w:rsidR="0028332C" w:rsidRDefault="0028332C" w:rsidP="0028332C">
            <w:r w:rsidRPr="00D82C1F">
              <w:rPr>
                <w:lang w:val="kk-KZ"/>
              </w:rPr>
              <w:t xml:space="preserve">Ежегодные лицензии на право пользования программно-аппаратным комплексом Fortinet </w:t>
            </w:r>
            <w:proofErr w:type="spellStart"/>
            <w:r>
              <w:rPr>
                <w:lang w:val="en-US"/>
              </w:rPr>
              <w:t>FortiAnalyzer</w:t>
            </w:r>
            <w:proofErr w:type="spellEnd"/>
            <w:r w:rsidRPr="00541F88">
              <w:t xml:space="preserve"> 150</w:t>
            </w:r>
            <w:r>
              <w:rPr>
                <w:lang w:val="en-US"/>
              </w:rPr>
              <w:t>G</w:t>
            </w:r>
            <w:r w:rsidRPr="008E615B">
              <w:t>:</w:t>
            </w:r>
          </w:p>
          <w:p w14:paraId="5A148BE0" w14:textId="77777777" w:rsidR="0028332C" w:rsidRDefault="0028332C" w:rsidP="0028332C"/>
          <w:p w14:paraId="618CBC72" w14:textId="409662E1" w:rsidR="0028332C" w:rsidRPr="0028332C" w:rsidRDefault="0028332C" w:rsidP="0028332C">
            <w:r>
              <w:rPr>
                <w:lang w:val="en-US"/>
              </w:rPr>
              <w:t xml:space="preserve">1 </w:t>
            </w:r>
            <w:r>
              <w:t>шт.</w:t>
            </w:r>
          </w:p>
        </w:tc>
      </w:tr>
      <w:tr w:rsidR="0028332C" w:rsidRPr="00C621B8" w14:paraId="4951FEE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8772" w14:textId="1362D485" w:rsidR="0028332C" w:rsidRPr="00715B26" w:rsidRDefault="0028332C" w:rsidP="000B4DA0">
            <w:proofErr w:type="spellStart"/>
            <w:r w:rsidRPr="0028332C">
              <w:rPr>
                <w:lang w:val="uk-UA"/>
              </w:rPr>
              <w:lastRenderedPageBreak/>
              <w:t>Технические</w:t>
            </w:r>
            <w:proofErr w:type="spellEnd"/>
            <w:r w:rsidRPr="0028332C">
              <w:rPr>
                <w:lang w:val="uk-UA"/>
              </w:rPr>
              <w:t xml:space="preserve"> </w:t>
            </w:r>
            <w:proofErr w:type="spellStart"/>
            <w:r w:rsidRPr="0028332C">
              <w:rPr>
                <w:lang w:val="uk-UA"/>
              </w:rPr>
              <w:t>требования</w:t>
            </w:r>
            <w:proofErr w:type="spellEnd"/>
            <w:r w:rsidRPr="0028332C">
              <w:rPr>
                <w:lang w:val="uk-UA"/>
              </w:rPr>
              <w:t xml:space="preserve"> на </w:t>
            </w:r>
            <w:proofErr w:type="spellStart"/>
            <w:r w:rsidRPr="0028332C">
              <w:rPr>
                <w:lang w:val="uk-UA"/>
              </w:rPr>
              <w:t>оказание</w:t>
            </w:r>
            <w:proofErr w:type="spellEnd"/>
            <w:r w:rsidRPr="0028332C">
              <w:rPr>
                <w:lang w:val="uk-UA"/>
              </w:rPr>
              <w:t xml:space="preserve"> услуг по </w:t>
            </w:r>
            <w:proofErr w:type="spellStart"/>
            <w:r w:rsidRPr="0028332C">
              <w:rPr>
                <w:lang w:val="uk-UA"/>
              </w:rPr>
              <w:t>продлению</w:t>
            </w:r>
            <w:proofErr w:type="spellEnd"/>
            <w:r w:rsidRPr="0028332C">
              <w:rPr>
                <w:lang w:val="uk-UA"/>
              </w:rPr>
              <w:t xml:space="preserve"> </w:t>
            </w:r>
            <w:proofErr w:type="spellStart"/>
            <w:r w:rsidRPr="0028332C">
              <w:rPr>
                <w:lang w:val="uk-UA"/>
              </w:rPr>
              <w:t>технической</w:t>
            </w:r>
            <w:proofErr w:type="spellEnd"/>
            <w:r w:rsidRPr="0028332C">
              <w:rPr>
                <w:lang w:val="uk-UA"/>
              </w:rPr>
              <w:t xml:space="preserve"> </w:t>
            </w:r>
            <w:proofErr w:type="spellStart"/>
            <w:r w:rsidRPr="0028332C">
              <w:rPr>
                <w:lang w:val="uk-UA"/>
              </w:rPr>
              <w:t>поддержки</w:t>
            </w:r>
            <w:proofErr w:type="spellEnd"/>
            <w:r w:rsidRPr="0028332C">
              <w:rPr>
                <w:lang w:val="uk-UA"/>
              </w:rPr>
              <w:t xml:space="preserve"> </w:t>
            </w:r>
            <w:proofErr w:type="spellStart"/>
            <w:r w:rsidRPr="0028332C">
              <w:rPr>
                <w:lang w:val="uk-UA"/>
              </w:rPr>
              <w:t>оборудования</w:t>
            </w:r>
            <w:proofErr w:type="spellEnd"/>
            <w:r w:rsidRPr="0028332C">
              <w:rPr>
                <w:lang w:val="uk-UA"/>
              </w:rPr>
              <w:t xml:space="preserve"> </w:t>
            </w:r>
            <w:proofErr w:type="spellStart"/>
            <w:r w:rsidRPr="0028332C">
              <w:rPr>
                <w:lang w:val="uk-UA"/>
              </w:rPr>
              <w:t>FortiMail</w:t>
            </w:r>
            <w:proofErr w:type="spellEnd"/>
            <w:r w:rsidRPr="0028332C">
              <w:rPr>
                <w:lang w:val="uk-UA"/>
              </w:rPr>
              <w:t xml:space="preserve"> 200F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BCD2B1B" w14:textId="77777777" w:rsidR="0028332C" w:rsidRDefault="0028332C" w:rsidP="0028332C">
            <w:pPr>
              <w:pStyle w:val="2"/>
              <w:numPr>
                <w:ilvl w:val="0"/>
                <w:numId w:val="0"/>
              </w:numPr>
              <w:jc w:val="center"/>
            </w:pPr>
            <w:r w:rsidRPr="0028332C">
              <w:t xml:space="preserve">Технические требования на оказание услуг по продлению технической поддержки оборудования </w:t>
            </w:r>
            <w:proofErr w:type="spellStart"/>
            <w:r w:rsidRPr="0028332C">
              <w:t>FortiMail</w:t>
            </w:r>
            <w:proofErr w:type="spellEnd"/>
            <w:r w:rsidRPr="0028332C">
              <w:t xml:space="preserve"> 200F</w:t>
            </w:r>
          </w:p>
          <w:p w14:paraId="5098EE74" w14:textId="77777777" w:rsidR="0028332C" w:rsidRDefault="0028332C" w:rsidP="0028332C"/>
          <w:p w14:paraId="3E08EC1D" w14:textId="77777777" w:rsidR="0028332C" w:rsidRDefault="0028332C" w:rsidP="0028332C">
            <w:r w:rsidRPr="00413130">
              <w:t>Условия предоставления технической поддержки и продления лицензий</w:t>
            </w:r>
            <w:r>
              <w:t>:</w:t>
            </w:r>
          </w:p>
          <w:p w14:paraId="5A464A1A" w14:textId="77777777" w:rsidR="0028332C" w:rsidRDefault="0028332C" w:rsidP="0028332C"/>
          <w:p w14:paraId="0A58D8AD" w14:textId="77777777" w:rsidR="0028332C" w:rsidRDefault="0028332C" w:rsidP="0028332C">
            <w:pPr>
              <w:rPr>
                <w:spacing w:val="-1"/>
              </w:rPr>
            </w:pPr>
            <w:r w:rsidRPr="00E3463D">
              <w:rPr>
                <w:spacing w:val="-1"/>
              </w:rPr>
              <w:t xml:space="preserve">Круглосуточный прием заявок </w:t>
            </w:r>
            <w:r w:rsidRPr="008B68AE">
              <w:t>Производителем</w:t>
            </w:r>
            <w:r w:rsidRPr="00E3463D">
              <w:rPr>
                <w:spacing w:val="-1"/>
              </w:rPr>
              <w:t xml:space="preserve"> о выходе из строя оборудования. Обязательства по времени реакции на Запрос считаются выполненными в момент доставки исправного оборудования в адрес Заказчика.</w:t>
            </w:r>
          </w:p>
          <w:p w14:paraId="11D62871" w14:textId="77777777" w:rsidR="0028332C" w:rsidRDefault="0028332C" w:rsidP="0028332C"/>
          <w:p w14:paraId="13C406E7" w14:textId="77777777" w:rsidR="0028332C" w:rsidRDefault="0028332C" w:rsidP="0028332C">
            <w:r w:rsidRPr="00413130">
              <w:t xml:space="preserve">Гарантия на оборудование с момента приобретения 12 месяцев. В период гарантийного срока </w:t>
            </w:r>
            <w:r w:rsidRPr="008B68AE">
              <w:t>Производителем</w:t>
            </w:r>
            <w:r w:rsidRPr="00413130">
              <w:t xml:space="preserve"> обеспечивается работоспособность аппаратной и программной частей оборудования с заявленными характеристиками.</w:t>
            </w:r>
          </w:p>
          <w:p w14:paraId="3716A978" w14:textId="77777777" w:rsidR="0028332C" w:rsidRDefault="0028332C" w:rsidP="0028332C"/>
          <w:p w14:paraId="58A2737C" w14:textId="77777777" w:rsidR="0028332C" w:rsidRDefault="0028332C" w:rsidP="0028332C">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74134F1E" w14:textId="77777777" w:rsidR="0028332C" w:rsidRDefault="0028332C" w:rsidP="0028332C"/>
          <w:p w14:paraId="150F9532" w14:textId="77777777" w:rsidR="0028332C" w:rsidRDefault="0028332C" w:rsidP="0028332C">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27CA1A8F" w14:textId="77777777" w:rsidR="0028332C" w:rsidRDefault="0028332C" w:rsidP="0028332C"/>
          <w:p w14:paraId="64E4193E" w14:textId="77777777" w:rsidR="0028332C" w:rsidRDefault="0028332C" w:rsidP="0028332C"/>
          <w:p w14:paraId="07C7BD39" w14:textId="77777777" w:rsidR="0028332C" w:rsidRDefault="0028332C" w:rsidP="0028332C">
            <w:r>
              <w:t>Требования к лицензии:</w:t>
            </w:r>
          </w:p>
          <w:p w14:paraId="2C845CF5" w14:textId="77777777" w:rsidR="0028332C" w:rsidRDefault="0028332C" w:rsidP="0028332C"/>
          <w:p w14:paraId="4341B281" w14:textId="77777777" w:rsidR="0028332C" w:rsidRDefault="0028332C" w:rsidP="0028332C">
            <w:r w:rsidRPr="00C1311F">
              <w:lastRenderedPageBreak/>
              <w:t>Возможность обращения в техническую поддержку для решения проблем, связанных с эксплуатацией программно-аппаратного комплекса.</w:t>
            </w:r>
          </w:p>
          <w:p w14:paraId="5A719A23" w14:textId="77777777" w:rsidR="0028332C" w:rsidRDefault="0028332C" w:rsidP="0028332C"/>
          <w:p w14:paraId="22573C7C" w14:textId="77777777" w:rsidR="0028332C" w:rsidRDefault="0028332C" w:rsidP="0028332C">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3D179D6B" w14:textId="77777777" w:rsidR="0028332C" w:rsidRDefault="0028332C" w:rsidP="0028332C"/>
          <w:p w14:paraId="0332F8EE" w14:textId="77777777" w:rsidR="0028332C" w:rsidRDefault="0028332C" w:rsidP="0028332C">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p>
          <w:p w14:paraId="57903422" w14:textId="77777777" w:rsidR="0028332C" w:rsidRDefault="0028332C" w:rsidP="0028332C"/>
          <w:p w14:paraId="203E23A7" w14:textId="77777777" w:rsidR="0028332C" w:rsidRDefault="0028332C" w:rsidP="0028332C"/>
          <w:p w14:paraId="2124ADD1" w14:textId="77777777" w:rsidR="0028332C" w:rsidRDefault="0028332C" w:rsidP="0028332C">
            <w:r>
              <w:t>Сервисные лицензии должны включать в себя:</w:t>
            </w:r>
          </w:p>
          <w:p w14:paraId="3384773E" w14:textId="77777777" w:rsidR="0028332C" w:rsidRDefault="0028332C" w:rsidP="0028332C"/>
          <w:p w14:paraId="43F5FD3C" w14:textId="77777777" w:rsidR="0028332C" w:rsidRDefault="0028332C" w:rsidP="0028332C">
            <w:r w:rsidRPr="00F73983">
              <w:t>Расширенное многоуровневое обнаружение вредоносных программ – обновление сигнатур приложения от производителя не менее одного года.</w:t>
            </w:r>
          </w:p>
          <w:p w14:paraId="6B3E5B22" w14:textId="77777777" w:rsidR="0028332C" w:rsidRDefault="0028332C" w:rsidP="0028332C"/>
          <w:p w14:paraId="700BAD0C" w14:textId="77777777" w:rsidR="0028332C" w:rsidRDefault="0028332C" w:rsidP="0028332C">
            <w:r>
              <w:t>Фильтрация входящих и исходящих сообщений – обновление сигнатур от производителя не менее одного года</w:t>
            </w:r>
            <w:r w:rsidRPr="00F73983">
              <w:t>.</w:t>
            </w:r>
          </w:p>
          <w:p w14:paraId="490B00F6" w14:textId="77777777" w:rsidR="0028332C" w:rsidRDefault="0028332C" w:rsidP="0028332C"/>
          <w:p w14:paraId="2AC5442C" w14:textId="77777777" w:rsidR="0028332C" w:rsidRDefault="0028332C" w:rsidP="0028332C">
            <w:r>
              <w:t>Служба борьбы со вспышками вирусов - обновление сигнатур приложения от производителя не менее одного года</w:t>
            </w:r>
            <w:r w:rsidRPr="00413130">
              <w:t>.</w:t>
            </w:r>
          </w:p>
          <w:p w14:paraId="45EB3A6A" w14:textId="77777777" w:rsidR="0028332C" w:rsidRDefault="0028332C" w:rsidP="0028332C"/>
          <w:p w14:paraId="02382016" w14:textId="77777777" w:rsidR="0028332C" w:rsidRDefault="0028332C" w:rsidP="0028332C">
            <w:r>
              <w:t>Защита URL-адресов от кликов - обновление сигнатур приложения от производителя не менее одного года</w:t>
            </w:r>
            <w:r w:rsidRPr="00413130">
              <w:t>.</w:t>
            </w:r>
          </w:p>
          <w:p w14:paraId="5E7F247F" w14:textId="77777777" w:rsidR="0028332C" w:rsidRDefault="0028332C" w:rsidP="0028332C"/>
          <w:p w14:paraId="324052AE" w14:textId="77777777" w:rsidR="0028332C" w:rsidRDefault="0028332C" w:rsidP="0028332C">
            <w:proofErr w:type="spellStart"/>
            <w:r>
              <w:t>FortiSandbox</w:t>
            </w:r>
            <w:proofErr w:type="spellEnd"/>
            <w:r>
              <w:t xml:space="preserve"> </w:t>
            </w:r>
            <w:proofErr w:type="spellStart"/>
            <w:r>
              <w:t>Cloud</w:t>
            </w:r>
            <w:proofErr w:type="spellEnd"/>
            <w:r>
              <w:t xml:space="preserve"> — это решение для выявления продвинутых угроз, выполняющее динамический анализ для идентификации ранее неизвестного вредоносного ПО. Актуальные данные, созданные «песочницей» </w:t>
            </w:r>
            <w:proofErr w:type="spellStart"/>
            <w:r>
              <w:t>FortiCloud</w:t>
            </w:r>
            <w:proofErr w:type="spellEnd"/>
            <w:r>
              <w:t xml:space="preserve"> </w:t>
            </w:r>
            <w:proofErr w:type="spellStart"/>
            <w:r>
              <w:t>Sandbox</w:t>
            </w:r>
            <w:proofErr w:type="spellEnd"/>
            <w:r>
              <w:t>, поступают в системы профилактической проверки внутри сети для обезвреживания угрозы</w:t>
            </w:r>
            <w:r w:rsidRPr="00413130">
              <w:t>.</w:t>
            </w:r>
          </w:p>
          <w:p w14:paraId="5D09AF4D" w14:textId="77777777" w:rsidR="0028332C" w:rsidRDefault="0028332C" w:rsidP="0028332C"/>
          <w:p w14:paraId="61893235" w14:textId="77777777" w:rsidR="0028332C" w:rsidRDefault="0028332C" w:rsidP="0028332C">
            <w:r w:rsidRPr="00413130">
              <w:t xml:space="preserve">Служба </w:t>
            </w:r>
            <w:proofErr w:type="spellStart"/>
            <w:r w:rsidRPr="00413130">
              <w:t>FortiCare</w:t>
            </w:r>
            <w:proofErr w:type="spellEnd"/>
            <w:r w:rsidRPr="00413130">
              <w:t xml:space="preserve"> – техническая поддержка от производителя</w:t>
            </w:r>
            <w:r w:rsidRPr="00F73983">
              <w:t>.</w:t>
            </w:r>
          </w:p>
          <w:p w14:paraId="368492D2" w14:textId="77777777" w:rsidR="0028332C" w:rsidRDefault="0028332C" w:rsidP="0028332C"/>
          <w:p w14:paraId="3D1FE767" w14:textId="0A8558BF" w:rsidR="0028332C" w:rsidRDefault="0028332C" w:rsidP="0028332C">
            <w:r w:rsidRPr="00D82C1F">
              <w:rPr>
                <w:lang w:val="kk-KZ"/>
              </w:rPr>
              <w:lastRenderedPageBreak/>
              <w:t xml:space="preserve">Ежегодные лицензии на право пользования программно-аппаратным комплексом Fortinet </w:t>
            </w:r>
            <w:proofErr w:type="spellStart"/>
            <w:r>
              <w:rPr>
                <w:lang w:val="en-US"/>
              </w:rPr>
              <w:t>Forti</w:t>
            </w:r>
            <w:r w:rsidR="0010350D">
              <w:rPr>
                <w:lang w:val="en-US"/>
              </w:rPr>
              <w:t>Mail</w:t>
            </w:r>
            <w:proofErr w:type="spellEnd"/>
            <w:r w:rsidRPr="008E615B">
              <w:t xml:space="preserve"> </w:t>
            </w:r>
            <w:r w:rsidRPr="00F73983">
              <w:t>2</w:t>
            </w:r>
            <w:r w:rsidRPr="004475BD">
              <w:t>00</w:t>
            </w:r>
            <w:r>
              <w:rPr>
                <w:lang w:val="en-US"/>
              </w:rPr>
              <w:t>F</w:t>
            </w:r>
            <w:r w:rsidRPr="008E615B">
              <w:t>:</w:t>
            </w:r>
          </w:p>
          <w:p w14:paraId="096C14F1" w14:textId="77777777" w:rsidR="0028332C" w:rsidRDefault="0028332C" w:rsidP="0028332C"/>
          <w:p w14:paraId="30690E2F" w14:textId="5E326219" w:rsidR="0028332C" w:rsidRPr="0028332C" w:rsidRDefault="0028332C" w:rsidP="0028332C">
            <w:r>
              <w:t>1 шт.</w:t>
            </w:r>
          </w:p>
        </w:tc>
      </w:tr>
      <w:tr w:rsidR="003B2D4A" w:rsidRPr="00C621B8" w14:paraId="53D25A5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2595A" w14:textId="5C10239D" w:rsidR="003B2D4A" w:rsidRPr="0028332C" w:rsidRDefault="003B2D4A" w:rsidP="000B4DA0">
            <w:pPr>
              <w:rPr>
                <w:lang w:val="uk-UA"/>
              </w:rPr>
            </w:pPr>
            <w:r w:rsidRPr="003B2D4A">
              <w:rPr>
                <w:lang w:val="uk-UA"/>
              </w:rPr>
              <w:lastRenderedPageBreak/>
              <w:t xml:space="preserve">Перечень </w:t>
            </w:r>
            <w:proofErr w:type="spellStart"/>
            <w:r w:rsidRPr="003B2D4A">
              <w:rPr>
                <w:lang w:val="uk-UA"/>
              </w:rPr>
              <w:t>оборудования</w:t>
            </w:r>
            <w:proofErr w:type="spellEnd"/>
            <w:r w:rsidRPr="003B2D4A">
              <w:rPr>
                <w:lang w:val="uk-UA"/>
              </w:rPr>
              <w:t xml:space="preserve"> на </w:t>
            </w:r>
            <w:proofErr w:type="spellStart"/>
            <w:r w:rsidRPr="003B2D4A">
              <w:rPr>
                <w:lang w:val="uk-UA"/>
              </w:rPr>
              <w:t>продление</w:t>
            </w:r>
            <w:proofErr w:type="spellEnd"/>
            <w:r w:rsidRPr="003B2D4A">
              <w:rPr>
                <w:lang w:val="uk-UA"/>
              </w:rPr>
              <w:t xml:space="preserve"> </w:t>
            </w:r>
            <w:proofErr w:type="spellStart"/>
            <w:r w:rsidRPr="003B2D4A">
              <w:rPr>
                <w:lang w:val="uk-UA"/>
              </w:rPr>
              <w:t>технической</w:t>
            </w:r>
            <w:proofErr w:type="spellEnd"/>
            <w:r w:rsidRPr="003B2D4A">
              <w:rPr>
                <w:lang w:val="uk-UA"/>
              </w:rPr>
              <w:t xml:space="preserve"> </w:t>
            </w:r>
            <w:proofErr w:type="spellStart"/>
            <w:r w:rsidRPr="003B2D4A">
              <w:rPr>
                <w:lang w:val="uk-UA"/>
              </w:rPr>
              <w:t>поддержки</w:t>
            </w:r>
            <w:proofErr w:type="spellEnd"/>
          </w:p>
        </w:tc>
        <w:tc>
          <w:tcPr>
            <w:tcW w:w="3314" w:type="pct"/>
            <w:tcBorders>
              <w:top w:val="nil"/>
              <w:left w:val="nil"/>
              <w:bottom w:val="single" w:sz="8" w:space="0" w:color="auto"/>
              <w:right w:val="single" w:sz="8" w:space="0" w:color="auto"/>
            </w:tcBorders>
            <w:tcMar>
              <w:top w:w="0" w:type="dxa"/>
              <w:left w:w="108" w:type="dxa"/>
              <w:bottom w:w="0" w:type="dxa"/>
              <w:right w:w="108" w:type="dxa"/>
            </w:tcMar>
          </w:tcPr>
          <w:tbl>
            <w:tblPr>
              <w:tblStyle w:val="af"/>
              <w:tblW w:w="0" w:type="auto"/>
              <w:tblLook w:val="04A0" w:firstRow="1" w:lastRow="0" w:firstColumn="1" w:lastColumn="0" w:noHBand="0" w:noVBand="1"/>
            </w:tblPr>
            <w:tblGrid>
              <w:gridCol w:w="3114"/>
              <w:gridCol w:w="3115"/>
              <w:gridCol w:w="3115"/>
            </w:tblGrid>
            <w:tr w:rsidR="003B2D4A" w14:paraId="3BF7CB11" w14:textId="77777777" w:rsidTr="00BF11DA">
              <w:tc>
                <w:tcPr>
                  <w:tcW w:w="3114" w:type="dxa"/>
                </w:tcPr>
                <w:p w14:paraId="20357DA5" w14:textId="77777777" w:rsidR="003B2D4A" w:rsidRPr="001031CF" w:rsidRDefault="003B2D4A" w:rsidP="003B2D4A">
                  <w:pPr>
                    <w:rPr>
                      <w:b/>
                    </w:rPr>
                  </w:pPr>
                  <w:r w:rsidRPr="001031CF">
                    <w:rPr>
                      <w:b/>
                    </w:rPr>
                    <w:t>Парт-номер</w:t>
                  </w:r>
                </w:p>
              </w:tc>
              <w:tc>
                <w:tcPr>
                  <w:tcW w:w="3115" w:type="dxa"/>
                </w:tcPr>
                <w:p w14:paraId="3F21E76D" w14:textId="77777777" w:rsidR="003B2D4A" w:rsidRPr="001031CF" w:rsidRDefault="003B2D4A" w:rsidP="003B2D4A">
                  <w:pPr>
                    <w:rPr>
                      <w:b/>
                    </w:rPr>
                  </w:pPr>
                  <w:r w:rsidRPr="001031CF">
                    <w:rPr>
                      <w:b/>
                    </w:rPr>
                    <w:t>Описание</w:t>
                  </w:r>
                </w:p>
              </w:tc>
              <w:tc>
                <w:tcPr>
                  <w:tcW w:w="3115" w:type="dxa"/>
                </w:tcPr>
                <w:p w14:paraId="12B81B30" w14:textId="77777777" w:rsidR="003B2D4A" w:rsidRPr="001031CF" w:rsidRDefault="003B2D4A" w:rsidP="003B2D4A">
                  <w:pPr>
                    <w:rPr>
                      <w:b/>
                    </w:rPr>
                  </w:pPr>
                  <w:r w:rsidRPr="001031CF">
                    <w:rPr>
                      <w:b/>
                    </w:rPr>
                    <w:t>Количество</w:t>
                  </w:r>
                </w:p>
              </w:tc>
            </w:tr>
            <w:tr w:rsidR="003B2D4A" w:rsidRPr="00DC1749" w14:paraId="21554BC2" w14:textId="77777777" w:rsidTr="00BF11DA">
              <w:tc>
                <w:tcPr>
                  <w:tcW w:w="3114" w:type="dxa"/>
                  <w:vAlign w:val="center"/>
                </w:tcPr>
                <w:p w14:paraId="2C3621B8" w14:textId="77777777" w:rsidR="003B2D4A" w:rsidRPr="001031CF" w:rsidRDefault="003B2D4A" w:rsidP="003B2D4A">
                  <w:pPr>
                    <w:jc w:val="center"/>
                  </w:pPr>
                  <w:r w:rsidRPr="001031CF">
                    <w:t>FC-10-0600F-950-02-12</w:t>
                  </w:r>
                </w:p>
              </w:tc>
              <w:tc>
                <w:tcPr>
                  <w:tcW w:w="3115" w:type="dxa"/>
                  <w:vAlign w:val="bottom"/>
                </w:tcPr>
                <w:p w14:paraId="33B861D1" w14:textId="77777777" w:rsidR="003B2D4A" w:rsidRPr="001031CF" w:rsidRDefault="003B2D4A" w:rsidP="003B2D4A">
                  <w:pPr>
                    <w:rPr>
                      <w:lang w:val="en-US"/>
                    </w:rPr>
                  </w:pPr>
                  <w:r w:rsidRPr="001031CF">
                    <w:rPr>
                      <w:lang w:val="en-US"/>
                    </w:rPr>
                    <w:t xml:space="preserve">FortiGate-600F 1 Year Unified Threat Protection (UTP) (IPS, Advanced Malware Protection, Application Control, URL, DNS &amp; Video Filtering, Antispam Service, and </w:t>
                  </w:r>
                  <w:proofErr w:type="spellStart"/>
                  <w:r w:rsidRPr="001031CF">
                    <w:rPr>
                      <w:lang w:val="en-US"/>
                    </w:rPr>
                    <w:t>FortiCare</w:t>
                  </w:r>
                  <w:proofErr w:type="spellEnd"/>
                  <w:r w:rsidRPr="001031CF">
                    <w:rPr>
                      <w:lang w:val="en-US"/>
                    </w:rPr>
                    <w:t xml:space="preserve"> Premium)</w:t>
                  </w:r>
                </w:p>
              </w:tc>
              <w:tc>
                <w:tcPr>
                  <w:tcW w:w="3115" w:type="dxa"/>
                  <w:vAlign w:val="center"/>
                </w:tcPr>
                <w:p w14:paraId="438D5DD3" w14:textId="77777777" w:rsidR="003B2D4A" w:rsidRPr="001031CF" w:rsidRDefault="003B2D4A" w:rsidP="003B2D4A">
                  <w:pPr>
                    <w:jc w:val="center"/>
                  </w:pPr>
                  <w:r w:rsidRPr="001031CF">
                    <w:t>2</w:t>
                  </w:r>
                </w:p>
              </w:tc>
            </w:tr>
            <w:tr w:rsidR="003B2D4A" w:rsidRPr="00DC1749" w14:paraId="6F1BBA1D" w14:textId="77777777" w:rsidTr="00BF11DA">
              <w:tc>
                <w:tcPr>
                  <w:tcW w:w="3114" w:type="dxa"/>
                  <w:vAlign w:val="center"/>
                </w:tcPr>
                <w:p w14:paraId="60481EBA" w14:textId="77777777" w:rsidR="003B2D4A" w:rsidRPr="001031CF" w:rsidRDefault="003B2D4A" w:rsidP="003B2D4A">
                  <w:pPr>
                    <w:jc w:val="center"/>
                  </w:pPr>
                  <w:r w:rsidRPr="001031CF">
                    <w:t>FC-10-F120G-950-02-12</w:t>
                  </w:r>
                </w:p>
              </w:tc>
              <w:tc>
                <w:tcPr>
                  <w:tcW w:w="3115" w:type="dxa"/>
                  <w:vAlign w:val="bottom"/>
                </w:tcPr>
                <w:p w14:paraId="49CFA9D3" w14:textId="77777777" w:rsidR="003B2D4A" w:rsidRPr="001031CF" w:rsidRDefault="003B2D4A" w:rsidP="003B2D4A">
                  <w:pPr>
                    <w:rPr>
                      <w:lang w:val="en-US"/>
                    </w:rPr>
                  </w:pPr>
                  <w:r w:rsidRPr="001031CF">
                    <w:rPr>
                      <w:lang w:val="en-US"/>
                    </w:rPr>
                    <w:t xml:space="preserve">FortiGate-120G 1 Year Unified Threat Protection (UTP) (IPS, Advanced Malware Protection, Application Control, URL, DNS &amp; Video Filtering, Antispam Service, and </w:t>
                  </w:r>
                  <w:proofErr w:type="spellStart"/>
                  <w:r w:rsidRPr="001031CF">
                    <w:rPr>
                      <w:lang w:val="en-US"/>
                    </w:rPr>
                    <w:t>FortiCare</w:t>
                  </w:r>
                  <w:proofErr w:type="spellEnd"/>
                  <w:r w:rsidRPr="001031CF">
                    <w:rPr>
                      <w:lang w:val="en-US"/>
                    </w:rPr>
                    <w:t xml:space="preserve"> Premium)</w:t>
                  </w:r>
                </w:p>
              </w:tc>
              <w:tc>
                <w:tcPr>
                  <w:tcW w:w="3115" w:type="dxa"/>
                  <w:vAlign w:val="center"/>
                </w:tcPr>
                <w:p w14:paraId="3EB2DED7" w14:textId="77777777" w:rsidR="003B2D4A" w:rsidRPr="001031CF" w:rsidRDefault="003B2D4A" w:rsidP="003B2D4A">
                  <w:pPr>
                    <w:jc w:val="center"/>
                  </w:pPr>
                  <w:r w:rsidRPr="001031CF">
                    <w:t>13</w:t>
                  </w:r>
                </w:p>
              </w:tc>
            </w:tr>
            <w:tr w:rsidR="003B2D4A" w:rsidRPr="00DC1749" w14:paraId="52B6A902" w14:textId="77777777" w:rsidTr="00BF11DA">
              <w:tc>
                <w:tcPr>
                  <w:tcW w:w="3114" w:type="dxa"/>
                  <w:vAlign w:val="center"/>
                </w:tcPr>
                <w:p w14:paraId="15BFECD7" w14:textId="77777777" w:rsidR="003B2D4A" w:rsidRPr="001031CF" w:rsidRDefault="003B2D4A" w:rsidP="003B2D4A">
                  <w:pPr>
                    <w:jc w:val="center"/>
                  </w:pPr>
                  <w:r w:rsidRPr="001031CF">
                    <w:t>FC-10-148FN-247-02-12</w:t>
                  </w:r>
                </w:p>
              </w:tc>
              <w:tc>
                <w:tcPr>
                  <w:tcW w:w="3115" w:type="dxa"/>
                  <w:vAlign w:val="bottom"/>
                </w:tcPr>
                <w:p w14:paraId="7EEDA2C8" w14:textId="77777777" w:rsidR="003B2D4A" w:rsidRPr="001031CF" w:rsidRDefault="003B2D4A" w:rsidP="003B2D4A">
                  <w:pPr>
                    <w:rPr>
                      <w:lang w:val="en-US"/>
                    </w:rPr>
                  </w:pPr>
                  <w:r w:rsidRPr="001031CF">
                    <w:rPr>
                      <w:lang w:val="en-US"/>
                    </w:rPr>
                    <w:t xml:space="preserve">FortiSwitch-148F 1 Year </w:t>
                  </w:r>
                  <w:proofErr w:type="spellStart"/>
                  <w:r w:rsidRPr="001031CF">
                    <w:rPr>
                      <w:lang w:val="en-US"/>
                    </w:rPr>
                    <w:t>FortiCare</w:t>
                  </w:r>
                  <w:proofErr w:type="spellEnd"/>
                  <w:r w:rsidRPr="001031CF">
                    <w:rPr>
                      <w:lang w:val="en-US"/>
                    </w:rPr>
                    <w:t xml:space="preserve"> Premium Support</w:t>
                  </w:r>
                </w:p>
              </w:tc>
              <w:tc>
                <w:tcPr>
                  <w:tcW w:w="3115" w:type="dxa"/>
                  <w:vAlign w:val="center"/>
                </w:tcPr>
                <w:p w14:paraId="7D8AD913" w14:textId="77777777" w:rsidR="003B2D4A" w:rsidRPr="001031CF" w:rsidRDefault="003B2D4A" w:rsidP="003B2D4A">
                  <w:pPr>
                    <w:jc w:val="center"/>
                  </w:pPr>
                  <w:r w:rsidRPr="001031CF">
                    <w:t>13</w:t>
                  </w:r>
                </w:p>
              </w:tc>
            </w:tr>
            <w:tr w:rsidR="003B2D4A" w:rsidRPr="00DC1749" w14:paraId="40F86ADA" w14:textId="77777777" w:rsidTr="00BF11DA">
              <w:tc>
                <w:tcPr>
                  <w:tcW w:w="3114" w:type="dxa"/>
                  <w:vAlign w:val="center"/>
                </w:tcPr>
                <w:p w14:paraId="447E9C59" w14:textId="77777777" w:rsidR="003B2D4A" w:rsidRPr="001031CF" w:rsidRDefault="003B2D4A" w:rsidP="003B2D4A">
                  <w:pPr>
                    <w:jc w:val="center"/>
                  </w:pPr>
                  <w:r w:rsidRPr="001031CF">
                    <w:t>FC-10-FSM2G-247-02-12</w:t>
                  </w:r>
                </w:p>
              </w:tc>
              <w:tc>
                <w:tcPr>
                  <w:tcW w:w="3115" w:type="dxa"/>
                  <w:vAlign w:val="bottom"/>
                </w:tcPr>
                <w:p w14:paraId="4840EE61" w14:textId="77777777" w:rsidR="003B2D4A" w:rsidRPr="001031CF" w:rsidRDefault="003B2D4A" w:rsidP="003B2D4A">
                  <w:pPr>
                    <w:rPr>
                      <w:lang w:val="en-US"/>
                    </w:rPr>
                  </w:pPr>
                  <w:r w:rsidRPr="001031CF">
                    <w:rPr>
                      <w:lang w:val="en-US"/>
                    </w:rPr>
                    <w:t xml:space="preserve">FortiSIEM-2000G 1 Year </w:t>
                  </w:r>
                  <w:proofErr w:type="spellStart"/>
                  <w:r w:rsidRPr="001031CF">
                    <w:rPr>
                      <w:lang w:val="en-US"/>
                    </w:rPr>
                    <w:t>FortiCare</w:t>
                  </w:r>
                  <w:proofErr w:type="spellEnd"/>
                  <w:r w:rsidRPr="001031CF">
                    <w:rPr>
                      <w:lang w:val="en-US"/>
                    </w:rPr>
                    <w:t xml:space="preserve"> Premium Support - Hardware Appliance only - product support required separately.</w:t>
                  </w:r>
                </w:p>
              </w:tc>
              <w:tc>
                <w:tcPr>
                  <w:tcW w:w="3115" w:type="dxa"/>
                  <w:vAlign w:val="center"/>
                </w:tcPr>
                <w:p w14:paraId="7E05D63A" w14:textId="77777777" w:rsidR="003B2D4A" w:rsidRPr="001031CF" w:rsidRDefault="003B2D4A" w:rsidP="003B2D4A">
                  <w:pPr>
                    <w:jc w:val="center"/>
                  </w:pPr>
                  <w:r w:rsidRPr="001031CF">
                    <w:t>1</w:t>
                  </w:r>
                </w:p>
              </w:tc>
            </w:tr>
            <w:tr w:rsidR="003B2D4A" w:rsidRPr="00DC1749" w14:paraId="349AAE14" w14:textId="77777777" w:rsidTr="00BF11DA">
              <w:tc>
                <w:tcPr>
                  <w:tcW w:w="3114" w:type="dxa"/>
                  <w:vAlign w:val="center"/>
                </w:tcPr>
                <w:p w14:paraId="152809BC" w14:textId="77777777" w:rsidR="003B2D4A" w:rsidRPr="001031CF" w:rsidRDefault="003B2D4A" w:rsidP="003B2D4A">
                  <w:pPr>
                    <w:jc w:val="center"/>
                  </w:pPr>
                  <w:r w:rsidRPr="001031CF">
                    <w:t>FC2-10-FSM99-240-02-12</w:t>
                  </w:r>
                </w:p>
              </w:tc>
              <w:tc>
                <w:tcPr>
                  <w:tcW w:w="3115" w:type="dxa"/>
                  <w:vAlign w:val="bottom"/>
                </w:tcPr>
                <w:p w14:paraId="3C0A3149" w14:textId="77777777" w:rsidR="003B2D4A" w:rsidRPr="001031CF" w:rsidRDefault="003B2D4A" w:rsidP="003B2D4A">
                  <w:pPr>
                    <w:rPr>
                      <w:lang w:val="en-US"/>
                    </w:rPr>
                  </w:pPr>
                  <w:proofErr w:type="spellStart"/>
                  <w:r w:rsidRPr="001031CF">
                    <w:rPr>
                      <w:lang w:val="en-US"/>
                    </w:rPr>
                    <w:t>FortiCare</w:t>
                  </w:r>
                  <w:proofErr w:type="spellEnd"/>
                  <w:r w:rsidRPr="001031CF">
                    <w:rPr>
                      <w:lang w:val="en-US"/>
                    </w:rPr>
                    <w:t xml:space="preserve"> Support for Hardware based </w:t>
                  </w:r>
                  <w:proofErr w:type="spellStart"/>
                  <w:r w:rsidRPr="001031CF">
                    <w:rPr>
                      <w:lang w:val="en-US"/>
                    </w:rPr>
                    <w:t>FortiSIEM</w:t>
                  </w:r>
                  <w:proofErr w:type="spellEnd"/>
                  <w:r w:rsidRPr="001031CF">
                    <w:rPr>
                      <w:lang w:val="en-US"/>
                    </w:rPr>
                    <w:t xml:space="preserve"> deployments 1 Year </w:t>
                  </w:r>
                  <w:proofErr w:type="spellStart"/>
                  <w:r w:rsidRPr="001031CF">
                    <w:rPr>
                      <w:lang w:val="en-US"/>
                    </w:rPr>
                    <w:t>FortiCare</w:t>
                  </w:r>
                  <w:proofErr w:type="spellEnd"/>
                  <w:r w:rsidRPr="001031CF">
                    <w:rPr>
                      <w:lang w:val="en-US"/>
                    </w:rPr>
                    <w:t xml:space="preserve"> Premium License Support (1 - 100 points) for </w:t>
                  </w:r>
                  <w:proofErr w:type="spellStart"/>
                  <w:r w:rsidRPr="001031CF">
                    <w:rPr>
                      <w:lang w:val="en-US"/>
                    </w:rPr>
                    <w:t>FortiSIEM</w:t>
                  </w:r>
                  <w:proofErr w:type="spellEnd"/>
                  <w:r w:rsidRPr="001031CF">
                    <w:rPr>
                      <w:lang w:val="en-US"/>
                    </w:rPr>
                    <w:t xml:space="preserve"> </w:t>
                  </w:r>
                  <w:r w:rsidRPr="001031CF">
                    <w:rPr>
                      <w:lang w:val="en-US"/>
                    </w:rPr>
                    <w:lastRenderedPageBreak/>
                    <w:t>hardware appliance. 1 "Device" or 2 "End points" or 3 "Advanced Agents - Log &amp; FIM" or 10 "Advanced Agents - UEBA Telemetry" equals 1 point.</w:t>
                  </w:r>
                </w:p>
              </w:tc>
              <w:tc>
                <w:tcPr>
                  <w:tcW w:w="3115" w:type="dxa"/>
                  <w:vAlign w:val="center"/>
                </w:tcPr>
                <w:p w14:paraId="6E119C00" w14:textId="77777777" w:rsidR="003B2D4A" w:rsidRPr="001031CF" w:rsidRDefault="003B2D4A" w:rsidP="003B2D4A">
                  <w:pPr>
                    <w:jc w:val="center"/>
                  </w:pPr>
                  <w:r w:rsidRPr="001031CF">
                    <w:lastRenderedPageBreak/>
                    <w:t>1</w:t>
                  </w:r>
                </w:p>
              </w:tc>
            </w:tr>
            <w:tr w:rsidR="003B2D4A" w:rsidRPr="00DC1749" w14:paraId="7418D95F" w14:textId="77777777" w:rsidTr="00BF11DA">
              <w:tc>
                <w:tcPr>
                  <w:tcW w:w="3114" w:type="dxa"/>
                  <w:vAlign w:val="center"/>
                </w:tcPr>
                <w:p w14:paraId="2D14F555" w14:textId="77777777" w:rsidR="003B2D4A" w:rsidRPr="001031CF" w:rsidRDefault="003B2D4A" w:rsidP="003B2D4A">
                  <w:pPr>
                    <w:jc w:val="center"/>
                  </w:pPr>
                  <w:r w:rsidRPr="001031CF">
                    <w:t>FC-10-L150G-247-02-12</w:t>
                  </w:r>
                </w:p>
              </w:tc>
              <w:tc>
                <w:tcPr>
                  <w:tcW w:w="3115" w:type="dxa"/>
                  <w:vAlign w:val="bottom"/>
                </w:tcPr>
                <w:p w14:paraId="18147CF9" w14:textId="77777777" w:rsidR="003B2D4A" w:rsidRPr="001031CF" w:rsidRDefault="003B2D4A" w:rsidP="003B2D4A">
                  <w:pPr>
                    <w:rPr>
                      <w:lang w:val="en-US"/>
                    </w:rPr>
                  </w:pPr>
                  <w:r w:rsidRPr="001031CF">
                    <w:rPr>
                      <w:lang w:val="en-US"/>
                    </w:rPr>
                    <w:t xml:space="preserve">FortiAnalyzer-150G 1 Year </w:t>
                  </w:r>
                  <w:proofErr w:type="spellStart"/>
                  <w:r w:rsidRPr="001031CF">
                    <w:rPr>
                      <w:lang w:val="en-US"/>
                    </w:rPr>
                    <w:t>FortiCare</w:t>
                  </w:r>
                  <w:proofErr w:type="spellEnd"/>
                  <w:r w:rsidRPr="001031CF">
                    <w:rPr>
                      <w:lang w:val="en-US"/>
                    </w:rPr>
                    <w:t xml:space="preserve"> Premium Support</w:t>
                  </w:r>
                </w:p>
              </w:tc>
              <w:tc>
                <w:tcPr>
                  <w:tcW w:w="3115" w:type="dxa"/>
                  <w:vAlign w:val="center"/>
                </w:tcPr>
                <w:p w14:paraId="650B0DAF" w14:textId="77777777" w:rsidR="003B2D4A" w:rsidRPr="001031CF" w:rsidRDefault="003B2D4A" w:rsidP="003B2D4A">
                  <w:pPr>
                    <w:jc w:val="center"/>
                  </w:pPr>
                  <w:r w:rsidRPr="001031CF">
                    <w:t>1</w:t>
                  </w:r>
                </w:p>
              </w:tc>
            </w:tr>
            <w:tr w:rsidR="003B2D4A" w:rsidRPr="00DC1749" w14:paraId="7E0CABD5" w14:textId="77777777" w:rsidTr="00BF11DA">
              <w:tc>
                <w:tcPr>
                  <w:tcW w:w="3114" w:type="dxa"/>
                  <w:vAlign w:val="center"/>
                </w:tcPr>
                <w:p w14:paraId="785819CE" w14:textId="77777777" w:rsidR="003B2D4A" w:rsidRPr="001031CF" w:rsidRDefault="003B2D4A" w:rsidP="003B2D4A">
                  <w:pPr>
                    <w:jc w:val="center"/>
                  </w:pPr>
                  <w:r w:rsidRPr="001031CF">
                    <w:t>FC-10-FE2HF-641-02-12</w:t>
                  </w:r>
                </w:p>
              </w:tc>
              <w:tc>
                <w:tcPr>
                  <w:tcW w:w="3115" w:type="dxa"/>
                  <w:vAlign w:val="bottom"/>
                </w:tcPr>
                <w:p w14:paraId="66E2DD42" w14:textId="77777777" w:rsidR="003B2D4A" w:rsidRPr="001031CF" w:rsidRDefault="003B2D4A" w:rsidP="003B2D4A">
                  <w:pPr>
                    <w:rPr>
                      <w:lang w:val="en-US"/>
                    </w:rPr>
                  </w:pPr>
                  <w:r w:rsidRPr="001031CF">
                    <w:rPr>
                      <w:lang w:val="en-US"/>
                    </w:rPr>
                    <w:t xml:space="preserve">FortiMail-200F 1 Year </w:t>
                  </w:r>
                  <w:proofErr w:type="spellStart"/>
                  <w:r w:rsidRPr="001031CF">
                    <w:rPr>
                      <w:lang w:val="en-US"/>
                    </w:rPr>
                    <w:t>FortiCare</w:t>
                  </w:r>
                  <w:proofErr w:type="spellEnd"/>
                  <w:r w:rsidRPr="001031CF">
                    <w:rPr>
                      <w:lang w:val="en-US"/>
                    </w:rPr>
                    <w:t xml:space="preserve"> Premium and FortiGuard Enterprise ATP Bundle Contract</w:t>
                  </w:r>
                </w:p>
              </w:tc>
              <w:tc>
                <w:tcPr>
                  <w:tcW w:w="3115" w:type="dxa"/>
                  <w:vAlign w:val="center"/>
                </w:tcPr>
                <w:p w14:paraId="284F1CB2" w14:textId="77777777" w:rsidR="003B2D4A" w:rsidRPr="001031CF" w:rsidRDefault="003B2D4A" w:rsidP="003B2D4A">
                  <w:pPr>
                    <w:jc w:val="center"/>
                  </w:pPr>
                  <w:r w:rsidRPr="001031CF">
                    <w:t>1</w:t>
                  </w:r>
                </w:p>
              </w:tc>
            </w:tr>
          </w:tbl>
          <w:p w14:paraId="45EA97E7" w14:textId="77777777" w:rsidR="003B2D4A" w:rsidRPr="0028332C" w:rsidRDefault="003B2D4A" w:rsidP="0028332C">
            <w:pPr>
              <w:pStyle w:val="2"/>
              <w:numPr>
                <w:ilvl w:val="0"/>
                <w:numId w:val="0"/>
              </w:numPr>
              <w:jc w:val="center"/>
            </w:pPr>
          </w:p>
        </w:tc>
      </w:tr>
      <w:tr w:rsidR="000179FF" w:rsidRPr="00C621B8" w14:paraId="0F95E196"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11FBED7" w14:textId="6864D012" w:rsidR="000179FF" w:rsidRPr="00715B26" w:rsidRDefault="000179FF" w:rsidP="000B4DA0">
            <w:r w:rsidRPr="00715B26">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EC620BE" w14:textId="77777777" w:rsidR="00EF46B9" w:rsidRPr="00BF4BCB" w:rsidRDefault="00EF46B9" w:rsidP="00EF46B9">
            <w:pPr>
              <w:ind w:firstLine="680"/>
            </w:pPr>
            <w:r w:rsidRPr="00BF4BCB">
              <w:t xml:space="preserve">В рамках реализации должны быть выполнены следующие услуги: </w:t>
            </w:r>
          </w:p>
          <w:p w14:paraId="51E2E560" w14:textId="77777777" w:rsidR="00EF46B9" w:rsidRPr="00BF4BCB" w:rsidRDefault="00EF46B9" w:rsidP="00EF46B9">
            <w:pPr>
              <w:ind w:firstLine="680"/>
            </w:pPr>
            <w:r>
              <w:t>1</w:t>
            </w:r>
            <w:r w:rsidRPr="00BF4BCB">
              <w:t xml:space="preserve">) Передача всех лицензий после окончания оказания услуг. </w:t>
            </w:r>
          </w:p>
          <w:p w14:paraId="49E920A3" w14:textId="28B2F113" w:rsidR="000179FF" w:rsidRPr="005A6C10" w:rsidRDefault="00EF46B9" w:rsidP="00EF46B9">
            <w:pPr>
              <w:ind w:firstLine="680"/>
            </w:pPr>
            <w:r>
              <w:t>2</w:t>
            </w:r>
            <w:r w:rsidRPr="00BF4BCB">
              <w:t>) Обеспечение технической поддержки</w:t>
            </w:r>
            <w:r>
              <w:t xml:space="preserve"> Производителем</w:t>
            </w:r>
            <w:r w:rsidRPr="00BF4BCB">
              <w:t xml:space="preserve"> в течении 12 месяцев со дня подписания акта оказанных услуг</w:t>
            </w:r>
            <w:r>
              <w:t xml:space="preserve">. </w:t>
            </w:r>
            <w:r w:rsidRPr="0048498F">
              <w:t>Техническая поддержка должна включать доступ к обновлениям программного обеспечения, консультации и устранение неисправностей в соответствии с условиями Fortinet;</w:t>
            </w: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938ED3B" w14:textId="77777777" w:rsidR="00EF46B9" w:rsidRPr="00BF4BCB" w:rsidRDefault="00EF46B9" w:rsidP="00EF46B9">
            <w:pPr>
              <w:ind w:firstLine="680"/>
            </w:pPr>
            <w:r w:rsidRPr="00BF4BCB">
              <w:t>1)</w:t>
            </w:r>
            <w:r>
              <w:t xml:space="preserve"> </w:t>
            </w:r>
            <w:r w:rsidRPr="0048498F">
              <w:t>Для подтверждения квалификации по оказанию услуг потенциальный поставщик должен предоставить в составе конкурсной заявки сертификат по направлению работы с оборудованием Fortinet</w:t>
            </w:r>
            <w:r w:rsidRPr="00BF4BCB">
              <w:t xml:space="preserve">. </w:t>
            </w:r>
          </w:p>
          <w:p w14:paraId="77F1C639" w14:textId="77777777" w:rsidR="00EF46B9" w:rsidRPr="00BF4BCB" w:rsidRDefault="00EF46B9" w:rsidP="00EF46B9">
            <w:pPr>
              <w:ind w:firstLine="680"/>
            </w:pPr>
            <w:r w:rsidRPr="00BF4BCB">
              <w:t xml:space="preserve">2) </w:t>
            </w:r>
            <w:r w:rsidRPr="0048498F">
              <w:t>Потенциальный поставщик должен предоставить письмо-подтверждение от компании Fortinet, подтверждающее право поставщика осуществлять реализацию лицензий и технической поддержки на территории Республики Казахстан в рамках данного конкурса.</w:t>
            </w:r>
          </w:p>
          <w:p w14:paraId="790A648D" w14:textId="0A61B5BE" w:rsidR="00B37F99" w:rsidRPr="00EF46B9" w:rsidRDefault="00EF46B9" w:rsidP="00EF46B9">
            <w:pPr>
              <w:ind w:firstLine="680"/>
            </w:pPr>
            <w:r w:rsidRPr="00BF4BCB">
              <w:t>3)</w:t>
            </w:r>
            <w:r>
              <w:t xml:space="preserve"> </w:t>
            </w:r>
            <w:r w:rsidRPr="00BF4BCB">
              <w:t xml:space="preserve">В случае, если сертификаты и письма предоставляются на иностранном языке, должен быть предоставлен нотариально заверенный перевод на русский язык или казахский язык. </w:t>
            </w: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lastRenderedPageBreak/>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1"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1"/>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0836587A" w:rsidR="001B5324" w:rsidRPr="00807A06" w:rsidRDefault="001B5324" w:rsidP="001B5324">
      <w:pPr>
        <w:ind w:firstLine="397"/>
        <w:jc w:val="both"/>
        <w:rPr>
          <w:lang w:val="kk-KZ"/>
        </w:rPr>
      </w:pPr>
      <w:r w:rsidRPr="00C621B8">
        <w:rPr>
          <w:lang w:val="kk-KZ"/>
        </w:rPr>
        <w:t>Тапсырыс берушінің атауы _________</w:t>
      </w:r>
      <w:r w:rsidR="00755956" w:rsidRPr="00755956">
        <w:rPr>
          <w:lang w:val="kk-KZ"/>
        </w:rPr>
        <w:t xml:space="preserve"> "Қазтелерадио" АҚ</w:t>
      </w:r>
      <w:r w:rsidRPr="00C621B8">
        <w:rPr>
          <w:lang w:val="kk-KZ"/>
        </w:rPr>
        <w:t>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48A2FD5B" w14:textId="0B243533" w:rsidR="009A503F" w:rsidRPr="00091133" w:rsidRDefault="001B5324" w:rsidP="001B5324">
      <w:pPr>
        <w:ind w:firstLine="397"/>
        <w:jc w:val="both"/>
        <w:rPr>
          <w:lang w:val="kk-KZ"/>
        </w:rPr>
      </w:pPr>
      <w:r w:rsidRPr="00C621B8">
        <w:rPr>
          <w:lang w:val="kk-KZ"/>
        </w:rPr>
        <w:t xml:space="preserve">Конкурстың атауы </w:t>
      </w:r>
      <w:r w:rsidR="00755956">
        <w:rPr>
          <w:lang w:val="kk-KZ"/>
        </w:rPr>
        <w:t xml:space="preserve"> </w:t>
      </w:r>
      <w:r w:rsidR="005A6C10" w:rsidRPr="005A6C10">
        <w:rPr>
          <w:lang w:val="kk-KZ"/>
        </w:rPr>
        <w:t>Ақпараттық қауіпсіздікті қамтамасыз ету бойынша қызметтер</w:t>
      </w:r>
    </w:p>
    <w:p w14:paraId="2FDE587D" w14:textId="77777777" w:rsidR="001B5324" w:rsidRPr="00091133" w:rsidRDefault="001B5324" w:rsidP="001B5324">
      <w:pPr>
        <w:ind w:firstLine="397"/>
        <w:jc w:val="both"/>
        <w:rPr>
          <w:lang w:val="kk-KZ"/>
        </w:rPr>
      </w:pPr>
      <w:r w:rsidRPr="00C621B8">
        <w:rPr>
          <w:lang w:val="kk-KZ"/>
        </w:rPr>
        <w:t>Лоттың № ______________________________________</w:t>
      </w:r>
    </w:p>
    <w:p w14:paraId="7FF5715F" w14:textId="3ECC77D2" w:rsidR="001B5324" w:rsidRPr="00755956" w:rsidRDefault="001B5324" w:rsidP="001B5324">
      <w:pPr>
        <w:ind w:firstLine="397"/>
        <w:jc w:val="both"/>
        <w:rPr>
          <w:lang w:val="kk-KZ"/>
        </w:rPr>
      </w:pPr>
      <w:r w:rsidRPr="00C621B8">
        <w:rPr>
          <w:lang w:val="kk-KZ"/>
        </w:rPr>
        <w:t xml:space="preserve">Лоттың атауы </w:t>
      </w:r>
      <w:r w:rsidR="005A6C10" w:rsidRPr="005A6C10">
        <w:rPr>
          <w:lang w:val="kk-KZ"/>
        </w:rPr>
        <w:t>Ақпараттық қауіпсіздікті қамтамасыз ету бойынша қызметтер</w:t>
      </w:r>
    </w:p>
    <w:p w14:paraId="060B5209" w14:textId="77777777" w:rsidR="001B5324" w:rsidRPr="00755956" w:rsidRDefault="001B5324" w:rsidP="001B5324">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8A0001" w:rsidRDefault="00886313" w:rsidP="000B4DA0">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4BE6E9A2" w:rsidR="00886313" w:rsidRPr="00C621B8" w:rsidRDefault="005A6C10" w:rsidP="00906668">
            <w:pPr>
              <w:rPr>
                <w:color w:val="auto"/>
              </w:rPr>
            </w:pPr>
            <w:r w:rsidRPr="005A6C10">
              <w:rPr>
                <w:color w:val="auto"/>
              </w:rPr>
              <w:t>801019.000.000010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16CD1019" w:rsidR="00932D8B" w:rsidRPr="00C621B8" w:rsidRDefault="005A6C10" w:rsidP="00932D8B">
            <w:pPr>
              <w:rPr>
                <w:color w:val="auto"/>
              </w:rPr>
            </w:pPr>
            <w:r w:rsidRPr="005A6C10">
              <w:rPr>
                <w:lang w:val="kk-KZ"/>
              </w:rPr>
              <w:t>Ақпараттық қауіпсіздікті қамтамасыз ету бойынша қызметтер</w:t>
            </w:r>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5C622D49" w:rsidR="00886313" w:rsidRPr="00AA6C08" w:rsidRDefault="005A6C10" w:rsidP="001B5324">
            <w:pPr>
              <w:rPr>
                <w:color w:val="auto"/>
                <w:lang w:val="kk-KZ"/>
              </w:rPr>
            </w:pPr>
            <w:r w:rsidRPr="005A6C10">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091133" w:rsidRPr="00C621B8" w14:paraId="28EFFFA7"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бірлік</w:t>
            </w:r>
            <w:proofErr w:type="spell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710573F" w14:textId="48A5A936" w:rsidR="00091133" w:rsidRPr="00932D8B" w:rsidRDefault="00E735A5" w:rsidP="00091133">
            <w:pPr>
              <w:rPr>
                <w:color w:val="auto"/>
                <w:lang w:val="en-US"/>
              </w:rPr>
            </w:pPr>
            <w:r>
              <w:rPr>
                <w:rFonts w:eastAsiaTheme="minorHAnsi"/>
                <w:b/>
                <w:bCs/>
                <w:lang w:val="en-US" w:eastAsia="en-US"/>
              </w:rPr>
              <w:t>47 439</w:t>
            </w:r>
            <w:r>
              <w:rPr>
                <w:rFonts w:eastAsiaTheme="minorHAnsi"/>
                <w:b/>
                <w:bCs/>
                <w:lang w:val="en-US" w:eastAsia="en-US"/>
              </w:rPr>
              <w:t> </w:t>
            </w:r>
            <w:r>
              <w:rPr>
                <w:rFonts w:eastAsiaTheme="minorHAnsi"/>
                <w:b/>
                <w:bCs/>
                <w:lang w:val="en-US" w:eastAsia="en-US"/>
              </w:rPr>
              <w:t>375</w:t>
            </w:r>
            <w:r>
              <w:rPr>
                <w:rFonts w:eastAsiaTheme="minorHAnsi"/>
                <w:b/>
                <w:bCs/>
                <w:lang w:val="en-US" w:eastAsia="en-US"/>
              </w:rPr>
              <w:t>.00</w:t>
            </w:r>
          </w:p>
        </w:tc>
      </w:tr>
      <w:tr w:rsidR="00091133" w:rsidRPr="00C621B8" w14:paraId="13C86E65"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r w:rsidRPr="003B2A45">
              <w:t>алуға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BB5C16" w14:textId="1C4B4132" w:rsidR="00091133" w:rsidRPr="00924555" w:rsidRDefault="00E735A5" w:rsidP="00091133">
            <w:pPr>
              <w:rPr>
                <w:color w:val="auto"/>
                <w:lang w:val="kk-KZ"/>
              </w:rPr>
            </w:pPr>
            <w:r>
              <w:rPr>
                <w:rFonts w:eastAsiaTheme="minorHAnsi"/>
                <w:b/>
                <w:bCs/>
                <w:lang w:val="en-US" w:eastAsia="en-US"/>
              </w:rPr>
              <w:t>47 439</w:t>
            </w:r>
            <w:r>
              <w:rPr>
                <w:rFonts w:eastAsiaTheme="minorHAnsi"/>
                <w:b/>
                <w:bCs/>
                <w:lang w:val="en-US" w:eastAsia="en-US"/>
              </w:rPr>
              <w:t> </w:t>
            </w:r>
            <w:r>
              <w:rPr>
                <w:rFonts w:eastAsiaTheme="minorHAnsi"/>
                <w:b/>
                <w:bCs/>
                <w:lang w:val="en-US" w:eastAsia="en-US"/>
              </w:rPr>
              <w:t>375</w:t>
            </w:r>
            <w:r>
              <w:rPr>
                <w:rFonts w:eastAsiaTheme="minorHAnsi"/>
                <w:b/>
                <w:bCs/>
                <w:lang w:val="en-US" w:eastAsia="en-US"/>
              </w:rPr>
              <w:t>.00</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proofErr w:type="spellStart"/>
            <w:r w:rsidRPr="003B2A45">
              <w:t>Жеткізу</w:t>
            </w:r>
            <w:proofErr w:type="spellEnd"/>
            <w:r w:rsidRPr="003B2A45">
              <w:t xml:space="preserve"> </w:t>
            </w:r>
            <w:proofErr w:type="spellStart"/>
            <w:r w:rsidRPr="003B2A45">
              <w:t>мерзімі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254976A5" w:rsidR="00886313" w:rsidRPr="00C621B8" w:rsidRDefault="003A59C2" w:rsidP="001B5324">
            <w:pPr>
              <w:rPr>
                <w:color w:val="auto"/>
              </w:rPr>
            </w:pPr>
            <w:r>
              <w:rPr>
                <w:color w:val="auto"/>
                <w:lang w:val="kk-KZ"/>
              </w:rPr>
              <w:t>30</w:t>
            </w:r>
            <w:r w:rsidR="00932D8B" w:rsidRPr="00927DA4">
              <w:rPr>
                <w:color w:val="auto"/>
              </w:rPr>
              <w:t xml:space="preserve"> </w:t>
            </w:r>
            <w:proofErr w:type="spellStart"/>
            <w:r w:rsidR="00932D8B" w:rsidRPr="00927DA4">
              <w:rPr>
                <w:color w:val="auto"/>
              </w:rPr>
              <w:t>күн</w:t>
            </w:r>
            <w:proofErr w:type="spellEnd"/>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proofErr w:type="spellStart"/>
            <w:r w:rsidRPr="003B2A45">
              <w:t>Аванстық</w:t>
            </w:r>
            <w:proofErr w:type="spellEnd"/>
            <w:r w:rsidRPr="003B2A45">
              <w:t xml:space="preserve"> </w:t>
            </w:r>
            <w:proofErr w:type="spellStart"/>
            <w:r w:rsidRPr="003B2A45">
              <w:t>төлем</w:t>
            </w:r>
            <w:proofErr w:type="spellEnd"/>
            <w:r w:rsidRPr="003B2A45">
              <w:t xml:space="preserve"> </w:t>
            </w:r>
            <w:proofErr w:type="spellStart"/>
            <w:r w:rsidRPr="003B2A45">
              <w:t>мөлшері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1176DE06" w:rsidR="00886313" w:rsidRPr="00AA6C08" w:rsidRDefault="0071382E" w:rsidP="001B5324">
            <w:pPr>
              <w:rPr>
                <w:color w:val="auto"/>
                <w:lang w:val="kk-KZ"/>
              </w:rPr>
            </w:pPr>
            <w:r>
              <w:rPr>
                <w:color w:val="auto"/>
                <w:highlight w:val="yellow"/>
              </w:rPr>
              <w:t>0</w:t>
            </w:r>
            <w:r w:rsidR="00932D8B">
              <w:rPr>
                <w:color w:val="auto"/>
              </w:rPr>
              <w:t>%</w:t>
            </w:r>
          </w:p>
        </w:tc>
      </w:tr>
      <w:tr w:rsidR="00886313" w:rsidRPr="00F571E3"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lastRenderedPageBreak/>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CB7E647" w14:textId="18305384" w:rsidR="00886313" w:rsidRPr="00121A90" w:rsidRDefault="00886313" w:rsidP="002949E7">
            <w:pPr>
              <w:jc w:val="both"/>
              <w:rPr>
                <w:color w:val="auto"/>
                <w:lang w:val="kk-KZ"/>
              </w:rPr>
            </w:pP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proofErr w:type="spellStart"/>
            <w:r w:rsidRPr="003B2A45">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5F3DE8A5" w:rsidR="00886313" w:rsidRPr="00F571E3" w:rsidRDefault="00886313" w:rsidP="001B5324">
            <w:pPr>
              <w:rPr>
                <w:color w:val="auto"/>
                <w:lang w:val="kk-KZ"/>
              </w:rPr>
            </w:pP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proofErr w:type="spellStart"/>
            <w:r w:rsidRPr="003B2A45">
              <w:t>Кепілдік</w:t>
            </w:r>
            <w:proofErr w:type="spellEnd"/>
            <w:r w:rsidRPr="003B2A45">
              <w:t xml:space="preserve"> </w:t>
            </w:r>
            <w:proofErr w:type="spellStart"/>
            <w:r w:rsidRPr="003B2A45">
              <w:t>мерзімі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500189D2" w:rsidR="00886313" w:rsidRPr="00A148AF" w:rsidRDefault="00091133" w:rsidP="001B5324">
            <w:pPr>
              <w:rPr>
                <w:color w:val="auto"/>
                <w:lang w:val="kk-KZ"/>
              </w:rPr>
            </w:pPr>
            <w:r>
              <w:rPr>
                <w:color w:val="auto"/>
                <w:lang w:val="kk-KZ"/>
              </w:rPr>
              <w:t>12</w:t>
            </w:r>
            <w:r w:rsidR="00932D8B" w:rsidRPr="00927DA4">
              <w:rPr>
                <w:color w:val="auto"/>
                <w:lang w:val="kk-KZ"/>
              </w:rPr>
              <w:t xml:space="preserve"> ай</w:t>
            </w:r>
          </w:p>
        </w:tc>
      </w:tr>
      <w:tr w:rsidR="00886313" w:rsidRPr="000179FF"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39C3F625" w:rsidR="00886313" w:rsidRDefault="00EF46B9" w:rsidP="000B4DA0">
            <w:proofErr w:type="spellStart"/>
            <w:r w:rsidRPr="00EF46B9">
              <w:t>FortiGate</w:t>
            </w:r>
            <w:proofErr w:type="spellEnd"/>
            <w:r w:rsidRPr="00EF46B9">
              <w:t xml:space="preserve"> 600</w:t>
            </w:r>
            <w:r>
              <w:rPr>
                <w:lang w:val="en-US"/>
              </w:rPr>
              <w:t>F</w:t>
            </w:r>
            <w:r w:rsidRPr="00EF46B9">
              <w:t xml:space="preserve"> </w:t>
            </w:r>
            <w:proofErr w:type="spellStart"/>
            <w:r w:rsidRPr="00EF46B9">
              <w:t>жабдығына</w:t>
            </w:r>
            <w:proofErr w:type="spellEnd"/>
            <w:r w:rsidRPr="00EF46B9">
              <w:t xml:space="preserve"> </w:t>
            </w:r>
            <w:proofErr w:type="spellStart"/>
            <w:r w:rsidRPr="00EF46B9">
              <w:t>техникалық</w:t>
            </w:r>
            <w:proofErr w:type="spellEnd"/>
            <w:r w:rsidRPr="00EF46B9">
              <w:t xml:space="preserve"> </w:t>
            </w:r>
            <w:proofErr w:type="spellStart"/>
            <w:r w:rsidRPr="00EF46B9">
              <w:t>қолдауды</w:t>
            </w:r>
            <w:proofErr w:type="spellEnd"/>
            <w:r w:rsidRPr="00EF46B9">
              <w:t xml:space="preserve"> </w:t>
            </w:r>
            <w:proofErr w:type="spellStart"/>
            <w:r w:rsidRPr="00EF46B9">
              <w:t>ұзарту</w:t>
            </w:r>
            <w:proofErr w:type="spellEnd"/>
            <w:r w:rsidRPr="00EF46B9">
              <w:t xml:space="preserve"> </w:t>
            </w:r>
            <w:proofErr w:type="spellStart"/>
            <w:r w:rsidRPr="00EF46B9">
              <w:t>бойынша</w:t>
            </w:r>
            <w:proofErr w:type="spellEnd"/>
            <w:r w:rsidRPr="00EF46B9">
              <w:t xml:space="preserve"> </w:t>
            </w:r>
            <w:proofErr w:type="spellStart"/>
            <w:r w:rsidRPr="00EF46B9">
              <w:t>қызметтер</w:t>
            </w:r>
            <w:proofErr w:type="spellEnd"/>
            <w:r w:rsidRPr="00EF46B9">
              <w:t xml:space="preserve"> </w:t>
            </w:r>
            <w:proofErr w:type="spellStart"/>
            <w:r w:rsidRPr="00EF46B9">
              <w:t>көрсетуге</w:t>
            </w:r>
            <w:proofErr w:type="spellEnd"/>
            <w:r w:rsidRPr="00EF46B9">
              <w:t xml:space="preserve"> </w:t>
            </w:r>
            <w:proofErr w:type="spellStart"/>
            <w:r w:rsidRPr="00EF46B9">
              <w:t>қойылатын</w:t>
            </w:r>
            <w:proofErr w:type="spellEnd"/>
            <w:r w:rsidRPr="00EF46B9">
              <w:t xml:space="preserve"> </w:t>
            </w:r>
            <w:proofErr w:type="spellStart"/>
            <w:r w:rsidRPr="00EF46B9">
              <w:t>техникалық</w:t>
            </w:r>
            <w:proofErr w:type="spellEnd"/>
            <w:r w:rsidRPr="00EF46B9">
              <w:t xml:space="preserve"> </w:t>
            </w:r>
            <w:proofErr w:type="spellStart"/>
            <w:r w:rsidRPr="00EF46B9">
              <w:t>талаптар</w:t>
            </w:r>
            <w:proofErr w:type="spellEnd"/>
            <w:r>
              <w:t xml:space="preserve"> ж</w:t>
            </w:r>
            <w:r>
              <w:rPr>
                <w:lang w:val="kk-KZ"/>
              </w:rPr>
              <w:t xml:space="preserve">әне </w:t>
            </w:r>
            <w:proofErr w:type="spellStart"/>
            <w:r>
              <w:t>с</w:t>
            </w:r>
            <w:r w:rsidR="00886313" w:rsidRPr="003B2A45">
              <w:t>атып</w:t>
            </w:r>
            <w:proofErr w:type="spellEnd"/>
            <w:r w:rsidR="00886313" w:rsidRPr="003B2A45">
              <w:t xml:space="preserve"> </w:t>
            </w:r>
            <w:proofErr w:type="spellStart"/>
            <w:r w:rsidR="00886313" w:rsidRPr="003B2A45">
              <w:t>алынатын</w:t>
            </w:r>
            <w:proofErr w:type="spellEnd"/>
            <w:r w:rsidR="00886313" w:rsidRPr="003B2A45">
              <w:t xml:space="preserve"> </w:t>
            </w:r>
            <w:proofErr w:type="spellStart"/>
            <w:r w:rsidR="00886313" w:rsidRPr="003B2A45">
              <w:t>тауардың</w:t>
            </w:r>
            <w:proofErr w:type="spellEnd"/>
            <w:r w:rsidR="00886313" w:rsidRPr="003B2A45">
              <w:t xml:space="preserve"> </w:t>
            </w:r>
            <w:proofErr w:type="spellStart"/>
            <w:r w:rsidR="00886313" w:rsidRPr="003B2A45">
              <w:t>талап</w:t>
            </w:r>
            <w:proofErr w:type="spellEnd"/>
            <w:r w:rsidR="00886313" w:rsidRPr="003B2A45">
              <w:t xml:space="preserve"> </w:t>
            </w:r>
            <w:proofErr w:type="spellStart"/>
            <w:r w:rsidR="00886313" w:rsidRPr="003B2A45">
              <w:t>етілетін</w:t>
            </w:r>
            <w:proofErr w:type="spellEnd"/>
            <w:r w:rsidR="00886313" w:rsidRPr="003B2A45">
              <w:t xml:space="preserve"> </w:t>
            </w:r>
            <w:proofErr w:type="spellStart"/>
            <w:r w:rsidR="00886313" w:rsidRPr="003B2A45">
              <w:t>функционалдық</w:t>
            </w:r>
            <w:proofErr w:type="spellEnd"/>
            <w:r w:rsidR="00886313" w:rsidRPr="003B2A45">
              <w:t xml:space="preserve">, </w:t>
            </w:r>
            <w:proofErr w:type="spellStart"/>
            <w:r w:rsidR="00886313" w:rsidRPr="003B2A45">
              <w:t>техникалық</w:t>
            </w:r>
            <w:proofErr w:type="spellEnd"/>
            <w:r w:rsidR="00886313" w:rsidRPr="003B2A45">
              <w:t xml:space="preserve">, </w:t>
            </w:r>
            <w:proofErr w:type="spellStart"/>
            <w:r w:rsidR="00886313" w:rsidRPr="003B2A45">
              <w:t>сапалық</w:t>
            </w:r>
            <w:proofErr w:type="spellEnd"/>
            <w:r w:rsidR="00886313" w:rsidRPr="003B2A45">
              <w:t xml:space="preserve">, </w:t>
            </w:r>
            <w:proofErr w:type="spellStart"/>
            <w:r w:rsidR="00886313" w:rsidRPr="003B2A45">
              <w:t>пайдалану</w:t>
            </w:r>
            <w:proofErr w:type="spellEnd"/>
            <w:r w:rsidR="00886313" w:rsidRPr="003B2A45">
              <w:t xml:space="preserve"> </w:t>
            </w:r>
            <w:proofErr w:type="spellStart"/>
            <w:r w:rsidR="00886313" w:rsidRPr="003B2A45">
              <w:t>және</w:t>
            </w:r>
            <w:proofErr w:type="spellEnd"/>
            <w:r w:rsidR="00886313" w:rsidRPr="003B2A45">
              <w:t xml:space="preserve"> </w:t>
            </w:r>
            <w:proofErr w:type="spellStart"/>
            <w:r w:rsidR="00886313" w:rsidRPr="003B2A45">
              <w:t>өзге</w:t>
            </w:r>
            <w:proofErr w:type="spellEnd"/>
            <w:r w:rsidR="00886313" w:rsidRPr="003B2A45">
              <w:t xml:space="preserve"> де </w:t>
            </w:r>
            <w:proofErr w:type="spellStart"/>
            <w:r w:rsidR="00886313" w:rsidRPr="003B2A45">
              <w:t>сипаттамаларының</w:t>
            </w:r>
            <w:proofErr w:type="spellEnd"/>
            <w:r w:rsidR="00886313" w:rsidRPr="003B2A45">
              <w:t xml:space="preserve"> </w:t>
            </w:r>
            <w:proofErr w:type="spellStart"/>
            <w:r w:rsidR="00886313" w:rsidRPr="003B2A45">
              <w:t>сипаттамасы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BC1749A" w14:textId="3C24BF81" w:rsidR="00EF46B9" w:rsidRDefault="00EF46B9" w:rsidP="00EF46B9">
            <w:pPr>
              <w:jc w:val="center"/>
              <w:rPr>
                <w:b/>
                <w:lang w:val="kk-KZ"/>
              </w:rPr>
            </w:pPr>
            <w:r w:rsidRPr="00EF46B9">
              <w:rPr>
                <w:b/>
                <w:lang w:val="kk-KZ"/>
              </w:rPr>
              <w:t>FortiGate 600</w:t>
            </w:r>
            <w:r>
              <w:rPr>
                <w:b/>
                <w:lang w:val="en-US"/>
              </w:rPr>
              <w:t>F</w:t>
            </w:r>
            <w:r w:rsidRPr="00EF46B9">
              <w:rPr>
                <w:b/>
                <w:lang w:val="kk-KZ"/>
              </w:rPr>
              <w:t xml:space="preserve"> жабдығына техникалық қолдауды ұзарту бойынша қызметтер көрсетуге қойылатын техникалық талаптар</w:t>
            </w:r>
          </w:p>
          <w:p w14:paraId="5B579F6E" w14:textId="77777777" w:rsidR="00EF46B9" w:rsidRDefault="00EF46B9" w:rsidP="003A59C2">
            <w:pPr>
              <w:rPr>
                <w:lang w:val="kk-KZ"/>
              </w:rPr>
            </w:pPr>
          </w:p>
          <w:p w14:paraId="1C126120" w14:textId="77777777" w:rsidR="00932D8B" w:rsidRDefault="00EF46B9" w:rsidP="00EF46B9">
            <w:pPr>
              <w:rPr>
                <w:lang w:val="kk-KZ"/>
              </w:rPr>
            </w:pPr>
            <w:r w:rsidRPr="00EF46B9">
              <w:rPr>
                <w:lang w:val="kk-KZ"/>
              </w:rPr>
              <w:t>Техникалық қолдау көрсету және лицензияларды ұзарту шарттары:</w:t>
            </w:r>
          </w:p>
          <w:p w14:paraId="090B2CAD" w14:textId="77777777" w:rsidR="00EF46B9" w:rsidRDefault="00EF46B9" w:rsidP="00EF46B9">
            <w:pPr>
              <w:rPr>
                <w:lang w:val="kk-KZ"/>
              </w:rPr>
            </w:pPr>
          </w:p>
          <w:p w14:paraId="5D6D38B8" w14:textId="77777777" w:rsidR="00EF46B9" w:rsidRDefault="00EF46B9" w:rsidP="00EF46B9">
            <w:pPr>
              <w:rPr>
                <w:lang w:val="kk-KZ"/>
              </w:rPr>
            </w:pPr>
            <w:r w:rsidRPr="00EF46B9">
              <w:rPr>
                <w:lang w:val="kk-KZ"/>
              </w:rPr>
              <w:t>Өндірушінің жабдықтың істен шығуы туралы өтінімдерді тәулік бойы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3EA0D79E" w14:textId="77777777" w:rsidR="00EF46B9" w:rsidRDefault="00EF46B9" w:rsidP="00EF46B9">
            <w:pPr>
              <w:rPr>
                <w:lang w:val="kk-KZ"/>
              </w:rPr>
            </w:pPr>
          </w:p>
          <w:p w14:paraId="635B272F" w14:textId="77777777" w:rsidR="00EF46B9" w:rsidRDefault="00EF46B9" w:rsidP="00EF46B9">
            <w:pPr>
              <w:rPr>
                <w:lang w:val="kk-KZ"/>
              </w:rPr>
            </w:pPr>
            <w:r w:rsidRPr="00EF46B9">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50AEF540" w14:textId="77777777" w:rsidR="00EF46B9" w:rsidRDefault="00EF46B9" w:rsidP="00EF46B9">
            <w:pPr>
              <w:rPr>
                <w:lang w:val="kk-KZ"/>
              </w:rPr>
            </w:pPr>
          </w:p>
          <w:p w14:paraId="46F254AF" w14:textId="77777777" w:rsidR="00EF46B9" w:rsidRDefault="00EF46B9" w:rsidP="00EF46B9">
            <w:pPr>
              <w:rPr>
                <w:lang w:val="kk-KZ"/>
              </w:rPr>
            </w:pPr>
            <w:r w:rsidRPr="00EF46B9">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0C9F583C" w14:textId="77777777" w:rsidR="00EF46B9" w:rsidRDefault="00EF46B9" w:rsidP="00EF46B9">
            <w:pPr>
              <w:rPr>
                <w:lang w:val="kk-KZ"/>
              </w:rPr>
            </w:pPr>
          </w:p>
          <w:p w14:paraId="2F1CF4A7" w14:textId="77777777" w:rsidR="00EF46B9" w:rsidRDefault="00EF46B9" w:rsidP="00EF46B9">
            <w:pPr>
              <w:rPr>
                <w:lang w:val="kk-KZ"/>
              </w:rPr>
            </w:pPr>
            <w:r w:rsidRPr="00EF46B9">
              <w:rPr>
                <w:lang w:val="kk-KZ"/>
              </w:rPr>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00BA6423" w14:textId="77777777" w:rsidR="00EF46B9" w:rsidRDefault="00EF46B9" w:rsidP="00EF46B9">
            <w:pPr>
              <w:rPr>
                <w:lang w:val="kk-KZ"/>
              </w:rPr>
            </w:pPr>
          </w:p>
          <w:p w14:paraId="62D18D12" w14:textId="77777777" w:rsidR="00EF46B9" w:rsidRDefault="00EF46B9" w:rsidP="00EF46B9">
            <w:pPr>
              <w:rPr>
                <w:lang w:val="kk-KZ"/>
              </w:rPr>
            </w:pPr>
          </w:p>
          <w:p w14:paraId="78AB48F7" w14:textId="77777777" w:rsidR="00EF46B9" w:rsidRDefault="00EF46B9" w:rsidP="00EF46B9">
            <w:pPr>
              <w:rPr>
                <w:lang w:val="kk-KZ"/>
              </w:rPr>
            </w:pPr>
            <w:r w:rsidRPr="00EF46B9">
              <w:rPr>
                <w:lang w:val="kk-KZ"/>
              </w:rPr>
              <w:t>Лицензияға қойылатын талаптар:</w:t>
            </w:r>
          </w:p>
          <w:p w14:paraId="529F6B16" w14:textId="77777777" w:rsidR="00EF46B9" w:rsidRDefault="00EF46B9" w:rsidP="00EF46B9">
            <w:pPr>
              <w:rPr>
                <w:lang w:val="kk-KZ"/>
              </w:rPr>
            </w:pPr>
          </w:p>
          <w:p w14:paraId="063919A6" w14:textId="77777777" w:rsidR="00EF46B9" w:rsidRDefault="00EF46B9" w:rsidP="00EF46B9">
            <w:pPr>
              <w:rPr>
                <w:lang w:val="kk-KZ"/>
              </w:rPr>
            </w:pPr>
            <w:r w:rsidRPr="00EF46B9">
              <w:rPr>
                <w:lang w:val="kk-KZ"/>
              </w:rPr>
              <w:t>Бағдарламалық-аппараттық кешенді пайдалануға байланысты проблемаларды шешу үшін техникалық қолдауға жүгіну мүмкіндігі.</w:t>
            </w:r>
          </w:p>
          <w:p w14:paraId="3B37E5FC" w14:textId="77777777" w:rsidR="00EF46B9" w:rsidRDefault="00EF46B9" w:rsidP="00EF46B9">
            <w:pPr>
              <w:rPr>
                <w:lang w:val="kk-KZ"/>
              </w:rPr>
            </w:pPr>
          </w:p>
          <w:p w14:paraId="76CCE302" w14:textId="77777777" w:rsidR="00EF46B9" w:rsidRDefault="00EF46B9" w:rsidP="00EF46B9">
            <w:pPr>
              <w:rPr>
                <w:lang w:val="kk-KZ"/>
              </w:rPr>
            </w:pPr>
            <w:r w:rsidRPr="00EF46B9">
              <w:rPr>
                <w:lang w:val="kk-KZ"/>
              </w:rPr>
              <w:lastRenderedPageBreak/>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4E49C413" w14:textId="77777777" w:rsidR="00EF46B9" w:rsidRDefault="00EF46B9" w:rsidP="00EF46B9">
            <w:pPr>
              <w:rPr>
                <w:lang w:val="kk-KZ"/>
              </w:rPr>
            </w:pPr>
          </w:p>
          <w:p w14:paraId="61C7E757" w14:textId="77777777" w:rsidR="00EF46B9" w:rsidRDefault="00EF46B9" w:rsidP="00EF46B9">
            <w:pPr>
              <w:rPr>
                <w:lang w:val="kk-KZ"/>
              </w:rPr>
            </w:pPr>
            <w:r w:rsidRPr="00EF46B9">
              <w:rPr>
                <w:lang w:val="kk-KZ"/>
              </w:rPr>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02A21B77" w14:textId="77777777" w:rsidR="00EF46B9" w:rsidRDefault="00EF46B9" w:rsidP="00EF46B9">
            <w:pPr>
              <w:rPr>
                <w:lang w:val="kk-KZ"/>
              </w:rPr>
            </w:pPr>
          </w:p>
          <w:p w14:paraId="61FBC88C" w14:textId="77777777" w:rsidR="00EF46B9" w:rsidRDefault="00EF46B9" w:rsidP="00EF46B9">
            <w:pPr>
              <w:rPr>
                <w:lang w:val="kk-KZ"/>
              </w:rPr>
            </w:pPr>
          </w:p>
          <w:p w14:paraId="39A5211A" w14:textId="77777777" w:rsidR="00EF46B9" w:rsidRDefault="00EF46B9" w:rsidP="00EF46B9">
            <w:pPr>
              <w:rPr>
                <w:lang w:val="kk-KZ"/>
              </w:rPr>
            </w:pPr>
            <w:r w:rsidRPr="00EF46B9">
              <w:rPr>
                <w:lang w:val="kk-KZ"/>
              </w:rPr>
              <w:t>Сервистік лицензиялар мыналарды қамтуы керек:</w:t>
            </w:r>
          </w:p>
          <w:p w14:paraId="36549C29" w14:textId="77777777" w:rsidR="00EF46B9" w:rsidRDefault="00EF46B9" w:rsidP="00EF46B9">
            <w:pPr>
              <w:rPr>
                <w:lang w:val="kk-KZ"/>
              </w:rPr>
            </w:pPr>
          </w:p>
          <w:p w14:paraId="1A0374F7" w14:textId="77777777" w:rsidR="00EF46B9" w:rsidRDefault="00EF46B9" w:rsidP="00EF46B9">
            <w:pPr>
              <w:rPr>
                <w:lang w:val="kk-KZ"/>
              </w:rPr>
            </w:pPr>
            <w:r w:rsidRPr="00EF46B9">
              <w:rPr>
                <w:lang w:val="kk-KZ"/>
              </w:rPr>
              <w:t>Қолданбаларды басқару – Өндірушіден кемінде бір жыл қолданба сигнатураларын жаңарту.</w:t>
            </w:r>
          </w:p>
          <w:p w14:paraId="6593B04D" w14:textId="77777777" w:rsidR="00EF46B9" w:rsidRDefault="00EF46B9" w:rsidP="00EF46B9">
            <w:pPr>
              <w:rPr>
                <w:lang w:val="kk-KZ"/>
              </w:rPr>
            </w:pPr>
          </w:p>
          <w:p w14:paraId="245B865C" w14:textId="77777777" w:rsidR="00EF46B9" w:rsidRDefault="00EF46B9" w:rsidP="00EF46B9">
            <w:pPr>
              <w:rPr>
                <w:lang w:val="kk-KZ"/>
              </w:rPr>
            </w:pPr>
            <w:r w:rsidRPr="00EF46B9">
              <w:rPr>
                <w:lang w:val="kk-KZ"/>
              </w:rPr>
              <w:t>Басып кірудің алдын алу жүйесі  – Өндірушіден кемінде бір жыл сигнатураларды жаңарту.</w:t>
            </w:r>
          </w:p>
          <w:p w14:paraId="7E89D6FA" w14:textId="77777777" w:rsidR="00EF46B9" w:rsidRDefault="00EF46B9" w:rsidP="00EF46B9">
            <w:pPr>
              <w:rPr>
                <w:lang w:val="kk-KZ"/>
              </w:rPr>
            </w:pPr>
          </w:p>
          <w:p w14:paraId="5F499BDF" w14:textId="77777777" w:rsidR="00EF46B9" w:rsidRDefault="00EF46B9" w:rsidP="00EF46B9">
            <w:pPr>
              <w:rPr>
                <w:lang w:val="kk-KZ"/>
              </w:rPr>
            </w:pPr>
            <w:r w:rsidRPr="00EF46B9">
              <w:rPr>
                <w:lang w:val="kk-KZ"/>
              </w:rPr>
              <w:t>Антивирустық қорғаныс – Өндірушіден кемінде бір жыл қолданба сигнатураларын жаңарту.</w:t>
            </w:r>
          </w:p>
          <w:p w14:paraId="2A729426" w14:textId="77777777" w:rsidR="00EF46B9" w:rsidRDefault="00EF46B9" w:rsidP="00EF46B9">
            <w:pPr>
              <w:rPr>
                <w:lang w:val="kk-KZ"/>
              </w:rPr>
            </w:pPr>
          </w:p>
          <w:p w14:paraId="1DA77C51" w14:textId="77777777" w:rsidR="00EF46B9" w:rsidRDefault="00EF46B9" w:rsidP="00EF46B9">
            <w:pPr>
              <w:rPr>
                <w:lang w:val="kk-KZ"/>
              </w:rPr>
            </w:pPr>
            <w:r w:rsidRPr="00EF46B9">
              <w:rPr>
                <w:lang w:val="kk-KZ"/>
              </w:rPr>
              <w:t>Веб-трафикті сүзгілеу – онлайн базаға қолжетімділік Өндірушінің беделі кемінде бір жыл.</w:t>
            </w:r>
          </w:p>
          <w:p w14:paraId="19278583" w14:textId="77777777" w:rsidR="00EF46B9" w:rsidRDefault="00EF46B9" w:rsidP="00EF46B9">
            <w:pPr>
              <w:rPr>
                <w:lang w:val="kk-KZ"/>
              </w:rPr>
            </w:pPr>
          </w:p>
          <w:p w14:paraId="24B8AD36" w14:textId="77777777" w:rsidR="00EF46B9" w:rsidRDefault="00EF46B9" w:rsidP="00EF46B9">
            <w:pPr>
              <w:rPr>
                <w:lang w:val="kk-KZ"/>
              </w:rPr>
            </w:pPr>
            <w:r w:rsidRPr="00EF46B9">
              <w:rPr>
                <w:lang w:val="kk-KZ"/>
              </w:rPr>
              <w:t>Керек емес хат-хабарлардан қорғау (антиспам) – онлайн базаға қолжетімділік, Өндірушінің беделі кемінде бір жыл.</w:t>
            </w:r>
          </w:p>
          <w:p w14:paraId="4CEDFF8A" w14:textId="77777777" w:rsidR="00EF46B9" w:rsidRDefault="00EF46B9" w:rsidP="00EF46B9">
            <w:pPr>
              <w:rPr>
                <w:lang w:val="kk-KZ"/>
              </w:rPr>
            </w:pPr>
          </w:p>
          <w:p w14:paraId="7B40D134" w14:textId="77777777" w:rsidR="00EF46B9" w:rsidRDefault="00EF46B9" w:rsidP="00EF46B9">
            <w:pPr>
              <w:rPr>
                <w:lang w:val="kk-KZ"/>
              </w:rPr>
            </w:pPr>
            <w:r w:rsidRPr="00EF46B9">
              <w:rPr>
                <w:lang w:val="kk-KZ"/>
              </w:rPr>
              <w:t>FortiSandbox Cloud — бұл бұрын белгісіз зиянды БҚ анықтау үшін динамикалық талдау жүргізетін озық қауіптерді анықтау шешімі. FortiCloud Sandbox «құм жәшігі» жасаған соңғы деректер, қауіпті залалсыздандыру үшін желі ішіндегі профилактикалық тексеру жүйелеріне түседі.</w:t>
            </w:r>
          </w:p>
          <w:p w14:paraId="14172351" w14:textId="77777777" w:rsidR="00EF46B9" w:rsidRDefault="00EF46B9" w:rsidP="00EF46B9">
            <w:pPr>
              <w:rPr>
                <w:lang w:val="kk-KZ"/>
              </w:rPr>
            </w:pPr>
          </w:p>
          <w:p w14:paraId="36035A5D" w14:textId="77777777" w:rsidR="00EF46B9" w:rsidRDefault="00EF46B9" w:rsidP="00EF46B9">
            <w:pPr>
              <w:rPr>
                <w:lang w:val="kk-KZ"/>
              </w:rPr>
            </w:pPr>
            <w:r w:rsidRPr="00EF46B9">
              <w:rPr>
                <w:lang w:val="kk-KZ"/>
              </w:rPr>
              <w:t>FortiCare қызметі – өндірушінің техникалық қолдауы</w:t>
            </w:r>
            <w:r>
              <w:rPr>
                <w:lang w:val="kk-KZ"/>
              </w:rPr>
              <w:t>.</w:t>
            </w:r>
          </w:p>
          <w:p w14:paraId="7592DD40" w14:textId="77777777" w:rsidR="00EF46B9" w:rsidRDefault="00EF46B9" w:rsidP="00EF46B9">
            <w:pPr>
              <w:rPr>
                <w:lang w:val="kk-KZ"/>
              </w:rPr>
            </w:pPr>
          </w:p>
          <w:p w14:paraId="6D60B205" w14:textId="77777777" w:rsidR="00EF46B9" w:rsidRDefault="00EF46B9" w:rsidP="00EF46B9">
            <w:pPr>
              <w:rPr>
                <w:lang w:val="kk-KZ"/>
              </w:rPr>
            </w:pPr>
          </w:p>
          <w:p w14:paraId="27CA9251" w14:textId="1CEB968A" w:rsidR="00EF46B9" w:rsidRDefault="00EF46B9" w:rsidP="00EF46B9">
            <w:pPr>
              <w:rPr>
                <w:lang w:val="kk-KZ"/>
              </w:rPr>
            </w:pPr>
            <w:r w:rsidRPr="00EF46B9">
              <w:rPr>
                <w:lang w:val="kk-KZ"/>
              </w:rPr>
              <w:t>Fortinet FortiGate 600</w:t>
            </w:r>
            <w:r w:rsidR="00316ED7" w:rsidRPr="00316ED7">
              <w:rPr>
                <w:lang w:val="kk-KZ"/>
              </w:rPr>
              <w:t>F</w:t>
            </w:r>
            <w:r w:rsidRPr="00EF46B9">
              <w:rPr>
                <w:lang w:val="kk-KZ"/>
              </w:rPr>
              <w:t xml:space="preserve"> бағдарламалық-аппараттық кешенін пайдалану құқығына берілетін жыл сайынғы лицензиялар:</w:t>
            </w:r>
          </w:p>
          <w:p w14:paraId="60F75FBD" w14:textId="77777777" w:rsidR="00EF46B9" w:rsidRDefault="00EF46B9" w:rsidP="00EF46B9">
            <w:pPr>
              <w:rPr>
                <w:lang w:val="kk-KZ"/>
              </w:rPr>
            </w:pPr>
          </w:p>
          <w:p w14:paraId="60D40FDA" w14:textId="142C72DC" w:rsidR="00EF46B9" w:rsidRPr="00EF46B9" w:rsidRDefault="00EF46B9" w:rsidP="00EF46B9">
            <w:pPr>
              <w:rPr>
                <w:lang w:val="kk-KZ"/>
              </w:rPr>
            </w:pPr>
            <w:r>
              <w:t xml:space="preserve">2 </w:t>
            </w:r>
            <w:r>
              <w:rPr>
                <w:lang w:val="kk-KZ"/>
              </w:rPr>
              <w:t>дана.</w:t>
            </w:r>
          </w:p>
        </w:tc>
      </w:tr>
      <w:tr w:rsidR="00EF46B9" w:rsidRPr="000179FF" w14:paraId="3360DCF1"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951431" w14:textId="44855BE3" w:rsidR="00EF46B9" w:rsidRPr="00EF46B9" w:rsidRDefault="00EF46B9" w:rsidP="000B4DA0">
            <w:pPr>
              <w:rPr>
                <w:lang w:val="kk-KZ"/>
              </w:rPr>
            </w:pPr>
            <w:r w:rsidRPr="00EF46B9">
              <w:rPr>
                <w:lang w:val="kk-KZ"/>
              </w:rPr>
              <w:lastRenderedPageBreak/>
              <w:t>FortiGate 120G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28DAD0C" w14:textId="77777777" w:rsidR="00EF46B9" w:rsidRDefault="00EF46B9" w:rsidP="00EF46B9">
            <w:pPr>
              <w:jc w:val="center"/>
              <w:rPr>
                <w:b/>
                <w:lang w:val="kk-KZ"/>
              </w:rPr>
            </w:pPr>
            <w:r w:rsidRPr="00EF46B9">
              <w:rPr>
                <w:b/>
                <w:lang w:val="kk-KZ"/>
              </w:rPr>
              <w:t>FortiGate 120G жабдығына техникалық қолдауды ұзарту бойынша қызмет көрсетуге қойылатын техникалық талаптар</w:t>
            </w:r>
          </w:p>
          <w:p w14:paraId="77E12621" w14:textId="77777777" w:rsidR="00EF46B9" w:rsidRDefault="00EF46B9" w:rsidP="00EF46B9">
            <w:pPr>
              <w:jc w:val="center"/>
              <w:rPr>
                <w:b/>
                <w:lang w:val="kk-KZ"/>
              </w:rPr>
            </w:pPr>
          </w:p>
          <w:p w14:paraId="2BA81C9E" w14:textId="77777777" w:rsidR="00EF46B9" w:rsidRDefault="00EF46B9" w:rsidP="00EF46B9">
            <w:pPr>
              <w:jc w:val="both"/>
              <w:rPr>
                <w:lang w:val="kk-KZ"/>
              </w:rPr>
            </w:pPr>
            <w:r w:rsidRPr="00EF46B9">
              <w:rPr>
                <w:lang w:val="kk-KZ"/>
              </w:rPr>
              <w:t xml:space="preserve">Техникалық қолдау көрсету және лицензияларды ұзарту шарттары: </w:t>
            </w:r>
          </w:p>
          <w:p w14:paraId="2976CF33" w14:textId="77777777" w:rsidR="00EF46B9" w:rsidRDefault="00EF46B9" w:rsidP="00EF46B9">
            <w:pPr>
              <w:jc w:val="both"/>
              <w:rPr>
                <w:lang w:val="kk-KZ"/>
              </w:rPr>
            </w:pPr>
          </w:p>
          <w:p w14:paraId="2E00E700" w14:textId="77777777" w:rsidR="00EF46B9" w:rsidRDefault="00EF46B9" w:rsidP="00EF46B9">
            <w:pPr>
              <w:jc w:val="both"/>
              <w:rPr>
                <w:lang w:val="kk-KZ"/>
              </w:rPr>
            </w:pPr>
            <w:r w:rsidRPr="00EF46B9">
              <w:rPr>
                <w:lang w:val="kk-KZ"/>
              </w:rPr>
              <w:t>Өндірушінің жабдықтың істен шығуы туралы тәулік бойы өтінімдерді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776593C2" w14:textId="77777777" w:rsidR="00EF46B9" w:rsidRDefault="00EF46B9" w:rsidP="00EF46B9">
            <w:pPr>
              <w:jc w:val="both"/>
              <w:rPr>
                <w:lang w:val="kk-KZ"/>
              </w:rPr>
            </w:pPr>
          </w:p>
          <w:p w14:paraId="39A561EF" w14:textId="77777777" w:rsidR="00EF46B9" w:rsidRDefault="00EF46B9" w:rsidP="00EF46B9">
            <w:pPr>
              <w:jc w:val="both"/>
              <w:rPr>
                <w:lang w:val="kk-KZ"/>
              </w:rPr>
            </w:pPr>
            <w:r w:rsidRPr="00EF46B9">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6B9DE36F" w14:textId="77777777" w:rsidR="00EF46B9" w:rsidRDefault="00EF46B9" w:rsidP="00EF46B9">
            <w:pPr>
              <w:jc w:val="both"/>
              <w:rPr>
                <w:lang w:val="kk-KZ"/>
              </w:rPr>
            </w:pPr>
          </w:p>
          <w:p w14:paraId="2364B9F6" w14:textId="77777777" w:rsidR="00EF46B9" w:rsidRDefault="00EF46B9" w:rsidP="00EF46B9">
            <w:pPr>
              <w:jc w:val="both"/>
              <w:rPr>
                <w:lang w:val="kk-KZ"/>
              </w:rPr>
            </w:pPr>
            <w:r w:rsidRPr="00EF46B9">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0524A20D" w14:textId="77777777" w:rsidR="00EF46B9" w:rsidRDefault="00EF46B9" w:rsidP="00EF46B9">
            <w:pPr>
              <w:jc w:val="both"/>
              <w:rPr>
                <w:lang w:val="kk-KZ"/>
              </w:rPr>
            </w:pPr>
          </w:p>
          <w:p w14:paraId="67D29332" w14:textId="77777777" w:rsidR="00EF46B9" w:rsidRDefault="00EF46B9" w:rsidP="00EF46B9">
            <w:pPr>
              <w:jc w:val="both"/>
              <w:rPr>
                <w:lang w:val="kk-KZ"/>
              </w:rPr>
            </w:pPr>
            <w:r w:rsidRPr="00EF46B9">
              <w:rPr>
                <w:lang w:val="kk-KZ"/>
              </w:rPr>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202C2637" w14:textId="77777777" w:rsidR="00EF46B9" w:rsidRDefault="00EF46B9" w:rsidP="00EF46B9">
            <w:pPr>
              <w:jc w:val="both"/>
              <w:rPr>
                <w:lang w:val="kk-KZ"/>
              </w:rPr>
            </w:pPr>
          </w:p>
          <w:p w14:paraId="46342F44" w14:textId="77777777" w:rsidR="00EF46B9" w:rsidRDefault="00EF46B9" w:rsidP="00EF46B9">
            <w:pPr>
              <w:jc w:val="both"/>
              <w:rPr>
                <w:lang w:val="kk-KZ"/>
              </w:rPr>
            </w:pPr>
          </w:p>
          <w:p w14:paraId="17FA4E43" w14:textId="77777777" w:rsidR="00EF46B9" w:rsidRDefault="00EF46B9" w:rsidP="00EF46B9">
            <w:pPr>
              <w:jc w:val="both"/>
              <w:rPr>
                <w:lang w:val="kk-KZ"/>
              </w:rPr>
            </w:pPr>
            <w:r w:rsidRPr="00EF46B9">
              <w:rPr>
                <w:lang w:val="kk-KZ"/>
              </w:rPr>
              <w:t>Лицензияға қойылатын талаптар:</w:t>
            </w:r>
          </w:p>
          <w:p w14:paraId="2523D8E2" w14:textId="77777777" w:rsidR="00EF46B9" w:rsidRDefault="00EF46B9" w:rsidP="00EF46B9">
            <w:pPr>
              <w:jc w:val="both"/>
              <w:rPr>
                <w:lang w:val="kk-KZ"/>
              </w:rPr>
            </w:pPr>
          </w:p>
          <w:p w14:paraId="029055B2" w14:textId="77777777" w:rsidR="00EF46B9" w:rsidRDefault="00EF46B9" w:rsidP="00EF46B9">
            <w:pPr>
              <w:jc w:val="both"/>
              <w:rPr>
                <w:lang w:val="kk-KZ"/>
              </w:rPr>
            </w:pPr>
            <w:r w:rsidRPr="00EF46B9">
              <w:rPr>
                <w:lang w:val="kk-KZ"/>
              </w:rPr>
              <w:t>Бағдарламалық-аппараттық кешенді пайдалануға байланысты проблемаларды шешу үшін техникалық қолдауға жүгіну мүмкіндігі.</w:t>
            </w:r>
          </w:p>
          <w:p w14:paraId="4FC1DC16" w14:textId="77777777" w:rsidR="00EF46B9" w:rsidRDefault="00EF46B9" w:rsidP="00EF46B9">
            <w:pPr>
              <w:jc w:val="both"/>
              <w:rPr>
                <w:lang w:val="kk-KZ"/>
              </w:rPr>
            </w:pPr>
          </w:p>
          <w:p w14:paraId="09A00EF9" w14:textId="77777777" w:rsidR="00EF46B9" w:rsidRDefault="00EF46B9" w:rsidP="00EF46B9">
            <w:pPr>
              <w:jc w:val="both"/>
              <w:rPr>
                <w:lang w:val="kk-KZ"/>
              </w:rPr>
            </w:pPr>
            <w:r w:rsidRPr="00EF46B9">
              <w:rPr>
                <w:lang w:val="kk-KZ"/>
              </w:rPr>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1635DBD3" w14:textId="77777777" w:rsidR="00EF46B9" w:rsidRDefault="00EF46B9" w:rsidP="00EF46B9">
            <w:pPr>
              <w:jc w:val="both"/>
              <w:rPr>
                <w:lang w:val="kk-KZ"/>
              </w:rPr>
            </w:pPr>
          </w:p>
          <w:p w14:paraId="66B46868" w14:textId="77777777" w:rsidR="00EF46B9" w:rsidRDefault="00EF46B9" w:rsidP="00EF46B9">
            <w:pPr>
              <w:jc w:val="both"/>
              <w:rPr>
                <w:lang w:val="kk-KZ"/>
              </w:rPr>
            </w:pPr>
            <w:r w:rsidRPr="00EF46B9">
              <w:rPr>
                <w:lang w:val="kk-KZ"/>
              </w:rPr>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1CD8D879" w14:textId="77777777" w:rsidR="00EF46B9" w:rsidRDefault="00EF46B9" w:rsidP="00EF46B9">
            <w:pPr>
              <w:jc w:val="both"/>
              <w:rPr>
                <w:lang w:val="kk-KZ"/>
              </w:rPr>
            </w:pPr>
          </w:p>
          <w:p w14:paraId="315887B0" w14:textId="77777777" w:rsidR="00EF46B9" w:rsidRDefault="00EF46B9" w:rsidP="00EF46B9">
            <w:pPr>
              <w:jc w:val="both"/>
              <w:rPr>
                <w:lang w:val="kk-KZ"/>
              </w:rPr>
            </w:pPr>
          </w:p>
          <w:p w14:paraId="0F2ECA83" w14:textId="77777777" w:rsidR="005C1D46" w:rsidRDefault="005C1D46" w:rsidP="00EF46B9">
            <w:pPr>
              <w:jc w:val="both"/>
              <w:rPr>
                <w:lang w:val="kk-KZ"/>
              </w:rPr>
            </w:pPr>
            <w:r w:rsidRPr="005C1D46">
              <w:rPr>
                <w:lang w:val="kk-KZ"/>
              </w:rPr>
              <w:t>Сервистік лицензиялар мыналарды қамтуы керек:</w:t>
            </w:r>
          </w:p>
          <w:p w14:paraId="6F2E3124" w14:textId="77777777" w:rsidR="005C1D46" w:rsidRDefault="005C1D46" w:rsidP="00EF46B9">
            <w:pPr>
              <w:jc w:val="both"/>
              <w:rPr>
                <w:lang w:val="kk-KZ"/>
              </w:rPr>
            </w:pPr>
          </w:p>
          <w:p w14:paraId="5D4B82D8" w14:textId="77777777" w:rsidR="005C1D46" w:rsidRDefault="005C1D46" w:rsidP="00EF46B9">
            <w:pPr>
              <w:jc w:val="both"/>
              <w:rPr>
                <w:lang w:val="kk-KZ"/>
              </w:rPr>
            </w:pPr>
            <w:r w:rsidRPr="005C1D46">
              <w:rPr>
                <w:lang w:val="kk-KZ"/>
              </w:rPr>
              <w:t>Қолданбаларды бақылау – Өндірушіден кемінде бір жыл қолданба сигнатураларын жаңарту.</w:t>
            </w:r>
          </w:p>
          <w:p w14:paraId="30DF126E" w14:textId="77777777" w:rsidR="005C1D46" w:rsidRDefault="005C1D46" w:rsidP="00EF46B9">
            <w:pPr>
              <w:jc w:val="both"/>
              <w:rPr>
                <w:lang w:val="kk-KZ"/>
              </w:rPr>
            </w:pPr>
          </w:p>
          <w:p w14:paraId="6293D549" w14:textId="77777777" w:rsidR="005C1D46" w:rsidRDefault="005C1D46" w:rsidP="00EF46B9">
            <w:pPr>
              <w:jc w:val="both"/>
              <w:rPr>
                <w:lang w:val="kk-KZ"/>
              </w:rPr>
            </w:pPr>
            <w:r w:rsidRPr="005C1D46">
              <w:rPr>
                <w:lang w:val="kk-KZ"/>
              </w:rPr>
              <w:t>Басып кірудің алдын алу жүйесі  – Өндірушіден кемінде бір жыл сигнатураларды жаңарту.</w:t>
            </w:r>
          </w:p>
          <w:p w14:paraId="704A9760" w14:textId="77777777" w:rsidR="005C1D46" w:rsidRDefault="005C1D46" w:rsidP="00EF46B9">
            <w:pPr>
              <w:jc w:val="both"/>
              <w:rPr>
                <w:lang w:val="kk-KZ"/>
              </w:rPr>
            </w:pPr>
          </w:p>
          <w:p w14:paraId="26175D3F" w14:textId="77777777" w:rsidR="005C1D46" w:rsidRDefault="005C1D46" w:rsidP="00EF46B9">
            <w:pPr>
              <w:jc w:val="both"/>
              <w:rPr>
                <w:lang w:val="kk-KZ"/>
              </w:rPr>
            </w:pPr>
            <w:r w:rsidRPr="005C1D46">
              <w:rPr>
                <w:lang w:val="kk-KZ"/>
              </w:rPr>
              <w:t>Антивирустық қорғаныс – Өндірушіден кемінде бір жыл қолданба сигнатураларын жаңарту.</w:t>
            </w:r>
          </w:p>
          <w:p w14:paraId="471FD337" w14:textId="77777777" w:rsidR="005C1D46" w:rsidRDefault="005C1D46" w:rsidP="00EF46B9">
            <w:pPr>
              <w:jc w:val="both"/>
              <w:rPr>
                <w:lang w:val="kk-KZ"/>
              </w:rPr>
            </w:pPr>
          </w:p>
          <w:p w14:paraId="699B1F91" w14:textId="77777777" w:rsidR="005C1D46" w:rsidRDefault="005C1D46" w:rsidP="00EF46B9">
            <w:pPr>
              <w:jc w:val="both"/>
              <w:rPr>
                <w:lang w:val="kk-KZ"/>
              </w:rPr>
            </w:pPr>
            <w:r w:rsidRPr="005C1D46">
              <w:rPr>
                <w:lang w:val="kk-KZ"/>
              </w:rPr>
              <w:t>Веб-трафикті сүзгілеу – онлайн базаға қолжетімділік Өндірушінің беделі кемінде бір жыл.</w:t>
            </w:r>
          </w:p>
          <w:p w14:paraId="2EC341AC" w14:textId="77777777" w:rsidR="005C1D46" w:rsidRDefault="005C1D46" w:rsidP="00EF46B9">
            <w:pPr>
              <w:jc w:val="both"/>
              <w:rPr>
                <w:lang w:val="kk-KZ"/>
              </w:rPr>
            </w:pPr>
          </w:p>
          <w:p w14:paraId="71AB4CBE" w14:textId="77777777" w:rsidR="005C1D46" w:rsidRDefault="005C1D46" w:rsidP="00EF46B9">
            <w:pPr>
              <w:jc w:val="both"/>
              <w:rPr>
                <w:lang w:val="kk-KZ"/>
              </w:rPr>
            </w:pPr>
            <w:r w:rsidRPr="005C1D46">
              <w:rPr>
                <w:lang w:val="kk-KZ"/>
              </w:rPr>
              <w:t>Керек емес хат-хабарлардан қорғау (антиспам) – онлайн базаға қолжетімділік, Өндірушінің беделі кемінде бір жыл.</w:t>
            </w:r>
          </w:p>
          <w:p w14:paraId="07B2121F" w14:textId="77777777" w:rsidR="005C1D46" w:rsidRDefault="005C1D46" w:rsidP="00EF46B9">
            <w:pPr>
              <w:jc w:val="both"/>
              <w:rPr>
                <w:lang w:val="kk-KZ"/>
              </w:rPr>
            </w:pPr>
          </w:p>
          <w:p w14:paraId="7C107432" w14:textId="77777777" w:rsidR="005C1D46" w:rsidRDefault="005C1D46" w:rsidP="00EF46B9">
            <w:pPr>
              <w:jc w:val="both"/>
              <w:rPr>
                <w:lang w:val="kk-KZ"/>
              </w:rPr>
            </w:pPr>
            <w:r w:rsidRPr="005C1D46">
              <w:rPr>
                <w:lang w:val="kk-KZ"/>
              </w:rPr>
              <w:t>FortiSandbox Cloud — бұл бұрын белгісіз зиянды БҚ анықтау үшін динамикалық талдау жүргізетін озық қауіптерді анықтау шешімі. FortiCloud Sandbox «құм жәшігі» жасаған соңғы деректер, қауіпті залалсыздандыру үшін желі ішіндегі профилактикалық тексеру жүйелеріне түседі.</w:t>
            </w:r>
          </w:p>
          <w:p w14:paraId="1490DBC3" w14:textId="77777777" w:rsidR="005C1D46" w:rsidRDefault="005C1D46" w:rsidP="00EF46B9">
            <w:pPr>
              <w:jc w:val="both"/>
              <w:rPr>
                <w:lang w:val="kk-KZ"/>
              </w:rPr>
            </w:pPr>
          </w:p>
          <w:p w14:paraId="62759DF5" w14:textId="77777777" w:rsidR="005C1D46" w:rsidRDefault="005C1D46" w:rsidP="00EF46B9">
            <w:pPr>
              <w:jc w:val="both"/>
              <w:rPr>
                <w:lang w:val="kk-KZ"/>
              </w:rPr>
            </w:pPr>
            <w:r w:rsidRPr="005C1D46">
              <w:rPr>
                <w:lang w:val="kk-KZ"/>
              </w:rPr>
              <w:t>FortiCare қызметі – өндірушінің техникалық қолдауы.</w:t>
            </w:r>
          </w:p>
          <w:p w14:paraId="1F429476" w14:textId="77777777" w:rsidR="005C1D46" w:rsidRDefault="005C1D46" w:rsidP="00EF46B9">
            <w:pPr>
              <w:jc w:val="both"/>
              <w:rPr>
                <w:lang w:val="kk-KZ"/>
              </w:rPr>
            </w:pPr>
          </w:p>
          <w:p w14:paraId="16FA66FB" w14:textId="77777777" w:rsidR="005C1D46" w:rsidRDefault="005C1D46" w:rsidP="00EF46B9">
            <w:pPr>
              <w:jc w:val="both"/>
              <w:rPr>
                <w:lang w:val="kk-KZ"/>
              </w:rPr>
            </w:pPr>
          </w:p>
          <w:p w14:paraId="3DB6F526" w14:textId="77777777" w:rsidR="005C1D46" w:rsidRDefault="005C1D46" w:rsidP="00EF46B9">
            <w:pPr>
              <w:jc w:val="both"/>
              <w:rPr>
                <w:lang w:val="kk-KZ"/>
              </w:rPr>
            </w:pPr>
            <w:r w:rsidRPr="005C1D46">
              <w:rPr>
                <w:lang w:val="kk-KZ"/>
              </w:rPr>
              <w:t>Fortinet FortiGate 120G бағдарламалық-аппараттық кешенін пайдалану құқығына берілетін жыл сайынғы лицензиялар:</w:t>
            </w:r>
          </w:p>
          <w:p w14:paraId="02B27723" w14:textId="77777777" w:rsidR="005C1D46" w:rsidRDefault="005C1D46" w:rsidP="00EF46B9">
            <w:pPr>
              <w:jc w:val="both"/>
              <w:rPr>
                <w:lang w:val="kk-KZ"/>
              </w:rPr>
            </w:pPr>
          </w:p>
          <w:p w14:paraId="77347B08" w14:textId="08782E43" w:rsidR="005C1D46" w:rsidRPr="005C1D46" w:rsidRDefault="005C1D46" w:rsidP="00EF46B9">
            <w:pPr>
              <w:jc w:val="both"/>
              <w:rPr>
                <w:lang w:val="en-US"/>
              </w:rPr>
            </w:pPr>
            <w:r w:rsidRPr="005C1D46">
              <w:rPr>
                <w:lang w:val="kk-KZ"/>
              </w:rPr>
              <w:t>13 дана</w:t>
            </w:r>
            <w:r>
              <w:rPr>
                <w:lang w:val="kk-KZ"/>
              </w:rPr>
              <w:t>.</w:t>
            </w:r>
          </w:p>
        </w:tc>
      </w:tr>
      <w:tr w:rsidR="005C1D46" w:rsidRPr="000179FF" w14:paraId="2E280882"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8DC8EB" w14:textId="00CDAF37" w:rsidR="005C1D46" w:rsidRPr="00EF46B9" w:rsidRDefault="005C1D46" w:rsidP="000B4DA0">
            <w:pPr>
              <w:rPr>
                <w:lang w:val="kk-KZ"/>
              </w:rPr>
            </w:pPr>
            <w:r w:rsidRPr="005C1D46">
              <w:rPr>
                <w:lang w:val="kk-KZ"/>
              </w:rPr>
              <w:lastRenderedPageBreak/>
              <w:t xml:space="preserve">FortiSwitch 148F жабдығына техникалық қолдауды ұзарту бойынша қызмет көрсетуге қойылатын техникалық талаптар </w:t>
            </w:r>
            <w:r w:rsidRPr="00EF46B9">
              <w:rPr>
                <w:lang w:val="kk-KZ"/>
              </w:rPr>
              <w:t>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F36FAC6" w14:textId="77777777" w:rsidR="005C1D46" w:rsidRDefault="005C1D46" w:rsidP="00EF46B9">
            <w:pPr>
              <w:jc w:val="center"/>
              <w:rPr>
                <w:b/>
                <w:lang w:val="kk-KZ"/>
              </w:rPr>
            </w:pPr>
            <w:r w:rsidRPr="005C1D46">
              <w:rPr>
                <w:b/>
                <w:lang w:val="kk-KZ"/>
              </w:rPr>
              <w:t>FortiSwitch 148F жабдығына техникалық қолдауды ұзарту бойынша қызмет көрсетуге қойылатын техникалық талаптар</w:t>
            </w:r>
          </w:p>
          <w:p w14:paraId="52EBB371" w14:textId="77777777" w:rsidR="005C1D46" w:rsidRDefault="005C1D46" w:rsidP="005C1D46">
            <w:pPr>
              <w:jc w:val="both"/>
              <w:rPr>
                <w:b/>
                <w:lang w:val="kk-KZ"/>
              </w:rPr>
            </w:pPr>
          </w:p>
          <w:p w14:paraId="076AE19F" w14:textId="77777777" w:rsidR="005C1D46" w:rsidRDefault="005C1D46" w:rsidP="005C1D46">
            <w:pPr>
              <w:jc w:val="both"/>
              <w:rPr>
                <w:lang w:val="kk-KZ"/>
              </w:rPr>
            </w:pPr>
            <w:r w:rsidRPr="005C1D46">
              <w:rPr>
                <w:lang w:val="kk-KZ"/>
              </w:rPr>
              <w:t>Техникалық қолдау көрсету және лицензияларды ұзарту шарттары:</w:t>
            </w:r>
          </w:p>
          <w:p w14:paraId="7BBD7D3A" w14:textId="77777777" w:rsidR="005C1D46" w:rsidRDefault="005C1D46" w:rsidP="005C1D46">
            <w:pPr>
              <w:jc w:val="both"/>
              <w:rPr>
                <w:lang w:val="kk-KZ"/>
              </w:rPr>
            </w:pPr>
          </w:p>
          <w:p w14:paraId="2FD3A1F5" w14:textId="77777777" w:rsidR="005C1D46" w:rsidRDefault="005C1D46" w:rsidP="005C1D46">
            <w:pPr>
              <w:jc w:val="both"/>
              <w:rPr>
                <w:lang w:val="kk-KZ"/>
              </w:rPr>
            </w:pPr>
            <w:r w:rsidRPr="005C1D46">
              <w:rPr>
                <w:lang w:val="kk-KZ"/>
              </w:rPr>
              <w:t>Өндірушінің жабдықтың істен шығуы туралы тәулік бойы өтінімдерді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41080F7A" w14:textId="77777777" w:rsidR="005C1D46" w:rsidRDefault="005C1D46" w:rsidP="005C1D46">
            <w:pPr>
              <w:jc w:val="both"/>
              <w:rPr>
                <w:lang w:val="kk-KZ"/>
              </w:rPr>
            </w:pPr>
          </w:p>
          <w:p w14:paraId="4B4D4DEE" w14:textId="77777777" w:rsidR="005C1D46" w:rsidRDefault="005C1D46" w:rsidP="005C1D46">
            <w:pPr>
              <w:jc w:val="both"/>
              <w:rPr>
                <w:lang w:val="kk-KZ"/>
              </w:rPr>
            </w:pPr>
            <w:r w:rsidRPr="005C1D46">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57391DD8" w14:textId="77777777" w:rsidR="005C1D46" w:rsidRDefault="005C1D46" w:rsidP="005C1D46">
            <w:pPr>
              <w:jc w:val="both"/>
              <w:rPr>
                <w:lang w:val="kk-KZ"/>
              </w:rPr>
            </w:pPr>
          </w:p>
          <w:p w14:paraId="286B3E5F" w14:textId="77777777" w:rsidR="005C1D46" w:rsidRDefault="005C1D46" w:rsidP="005C1D46">
            <w:pPr>
              <w:jc w:val="both"/>
              <w:rPr>
                <w:lang w:val="kk-KZ"/>
              </w:rPr>
            </w:pPr>
            <w:r w:rsidRPr="005C1D46">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23CD3EC4" w14:textId="77777777" w:rsidR="005C1D46" w:rsidRDefault="005C1D46" w:rsidP="005C1D46">
            <w:pPr>
              <w:jc w:val="both"/>
              <w:rPr>
                <w:lang w:val="kk-KZ"/>
              </w:rPr>
            </w:pPr>
          </w:p>
          <w:p w14:paraId="760F3E9E" w14:textId="77777777" w:rsidR="005C1D46" w:rsidRDefault="005C1D46" w:rsidP="005C1D46">
            <w:pPr>
              <w:jc w:val="both"/>
              <w:rPr>
                <w:lang w:val="kk-KZ"/>
              </w:rPr>
            </w:pPr>
            <w:r w:rsidRPr="005C1D46">
              <w:rPr>
                <w:lang w:val="kk-KZ"/>
              </w:rPr>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1C2200DF" w14:textId="77777777" w:rsidR="005C1D46" w:rsidRDefault="005C1D46" w:rsidP="005C1D46">
            <w:pPr>
              <w:jc w:val="both"/>
              <w:rPr>
                <w:lang w:val="kk-KZ"/>
              </w:rPr>
            </w:pPr>
          </w:p>
          <w:p w14:paraId="039C17DF" w14:textId="77777777" w:rsidR="005C1D46" w:rsidRDefault="005C1D46" w:rsidP="005C1D46">
            <w:pPr>
              <w:jc w:val="both"/>
              <w:rPr>
                <w:lang w:val="kk-KZ"/>
              </w:rPr>
            </w:pPr>
          </w:p>
          <w:p w14:paraId="111FC4E3" w14:textId="77777777" w:rsidR="005C1D46" w:rsidRDefault="005C1D46" w:rsidP="005C1D46">
            <w:pPr>
              <w:jc w:val="both"/>
              <w:rPr>
                <w:lang w:val="kk-KZ"/>
              </w:rPr>
            </w:pPr>
            <w:r w:rsidRPr="005C1D46">
              <w:rPr>
                <w:lang w:val="kk-KZ"/>
              </w:rPr>
              <w:t>Лицензияға қойылатын талаптар:</w:t>
            </w:r>
          </w:p>
          <w:p w14:paraId="0E3CF41A" w14:textId="77777777" w:rsidR="005C1D46" w:rsidRDefault="005C1D46" w:rsidP="005C1D46">
            <w:pPr>
              <w:jc w:val="both"/>
              <w:rPr>
                <w:lang w:val="kk-KZ"/>
              </w:rPr>
            </w:pPr>
          </w:p>
          <w:p w14:paraId="1077D644" w14:textId="77777777" w:rsidR="005C1D46" w:rsidRDefault="005C1D46" w:rsidP="005C1D46">
            <w:pPr>
              <w:jc w:val="both"/>
              <w:rPr>
                <w:lang w:val="kk-KZ"/>
              </w:rPr>
            </w:pPr>
            <w:r w:rsidRPr="005C1D46">
              <w:rPr>
                <w:lang w:val="kk-KZ"/>
              </w:rPr>
              <w:t>Бағдарламалық-аппараттық кешенді пайдалануға байланысты проблемаларды шешу үшін техникалық қолдауға жүгіну мүмкіндігі.</w:t>
            </w:r>
          </w:p>
          <w:p w14:paraId="68EFD4C7" w14:textId="77777777" w:rsidR="005C1D46" w:rsidRDefault="005C1D46" w:rsidP="005C1D46">
            <w:pPr>
              <w:jc w:val="both"/>
              <w:rPr>
                <w:lang w:val="kk-KZ"/>
              </w:rPr>
            </w:pPr>
          </w:p>
          <w:p w14:paraId="35DFD8D1" w14:textId="77777777" w:rsidR="005C1D46" w:rsidRDefault="005C1D46" w:rsidP="005C1D46">
            <w:pPr>
              <w:jc w:val="both"/>
              <w:rPr>
                <w:lang w:val="kk-KZ"/>
              </w:rPr>
            </w:pPr>
            <w:r w:rsidRPr="005C1D46">
              <w:rPr>
                <w:lang w:val="kk-KZ"/>
              </w:rPr>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3C35B164" w14:textId="77777777" w:rsidR="005C1D46" w:rsidRDefault="005C1D46" w:rsidP="005C1D46">
            <w:pPr>
              <w:jc w:val="both"/>
              <w:rPr>
                <w:lang w:val="kk-KZ"/>
              </w:rPr>
            </w:pPr>
          </w:p>
          <w:p w14:paraId="72AE669A" w14:textId="77777777" w:rsidR="005C1D46" w:rsidRDefault="005C1D46" w:rsidP="005C1D46">
            <w:pPr>
              <w:jc w:val="both"/>
              <w:rPr>
                <w:lang w:val="kk-KZ"/>
              </w:rPr>
            </w:pPr>
            <w:r w:rsidRPr="005C1D46">
              <w:rPr>
                <w:lang w:val="kk-KZ"/>
              </w:rPr>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38E057DD" w14:textId="77777777" w:rsidR="005C1D46" w:rsidRDefault="005C1D46" w:rsidP="005C1D46">
            <w:pPr>
              <w:jc w:val="both"/>
              <w:rPr>
                <w:lang w:val="kk-KZ"/>
              </w:rPr>
            </w:pPr>
          </w:p>
          <w:p w14:paraId="7BC0C927" w14:textId="77777777" w:rsidR="005C1D46" w:rsidRDefault="005C1D46" w:rsidP="005C1D46">
            <w:pPr>
              <w:jc w:val="both"/>
              <w:rPr>
                <w:lang w:val="kk-KZ"/>
              </w:rPr>
            </w:pPr>
          </w:p>
          <w:p w14:paraId="484A4D27" w14:textId="77777777" w:rsidR="005C1D46" w:rsidRDefault="005C1D46" w:rsidP="005C1D46">
            <w:pPr>
              <w:jc w:val="both"/>
              <w:rPr>
                <w:lang w:val="kk-KZ"/>
              </w:rPr>
            </w:pPr>
            <w:r w:rsidRPr="005C1D46">
              <w:rPr>
                <w:lang w:val="kk-KZ"/>
              </w:rPr>
              <w:t>Сервистік лицензиялар мыналарды қамтуы керек:</w:t>
            </w:r>
          </w:p>
          <w:p w14:paraId="477EBCE2" w14:textId="77777777" w:rsidR="005C1D46" w:rsidRDefault="005C1D46" w:rsidP="005C1D46">
            <w:pPr>
              <w:jc w:val="both"/>
              <w:rPr>
                <w:lang w:val="kk-KZ"/>
              </w:rPr>
            </w:pPr>
          </w:p>
          <w:p w14:paraId="6D2BE7C9" w14:textId="77777777" w:rsidR="005C1D46" w:rsidRDefault="005C1D46" w:rsidP="005C1D46">
            <w:pPr>
              <w:jc w:val="both"/>
              <w:rPr>
                <w:lang w:val="kk-KZ"/>
              </w:rPr>
            </w:pPr>
            <w:r w:rsidRPr="005C1D46">
              <w:rPr>
                <w:lang w:val="kk-KZ"/>
              </w:rPr>
              <w:t>FortiCare қызметі – өндірушінің техникалық қолдауы</w:t>
            </w:r>
          </w:p>
          <w:p w14:paraId="59B925E6" w14:textId="77777777" w:rsidR="005C1D46" w:rsidRDefault="005C1D46" w:rsidP="005C1D46">
            <w:pPr>
              <w:jc w:val="both"/>
              <w:rPr>
                <w:lang w:val="kk-KZ"/>
              </w:rPr>
            </w:pPr>
          </w:p>
          <w:p w14:paraId="41BBEEF0" w14:textId="77777777" w:rsidR="005C1D46" w:rsidRDefault="005C1D46" w:rsidP="005C1D46">
            <w:pPr>
              <w:jc w:val="both"/>
              <w:rPr>
                <w:lang w:val="kk-KZ"/>
              </w:rPr>
            </w:pPr>
          </w:p>
          <w:p w14:paraId="178477AB" w14:textId="77777777" w:rsidR="005C1D46" w:rsidRDefault="005C1D46" w:rsidP="005C1D46">
            <w:pPr>
              <w:jc w:val="both"/>
              <w:rPr>
                <w:lang w:val="kk-KZ"/>
              </w:rPr>
            </w:pPr>
            <w:r w:rsidRPr="005C1D46">
              <w:rPr>
                <w:lang w:val="kk-KZ"/>
              </w:rPr>
              <w:t>Fortinet FortiSwitch 148F бағдарламалық-аппараттық кешенін пайдалану құқығына берілетін жыл сайынғы лицензиялар:</w:t>
            </w:r>
          </w:p>
          <w:p w14:paraId="387A0480" w14:textId="77777777" w:rsidR="005C1D46" w:rsidRDefault="005C1D46" w:rsidP="005C1D46">
            <w:pPr>
              <w:jc w:val="both"/>
              <w:rPr>
                <w:lang w:val="kk-KZ"/>
              </w:rPr>
            </w:pPr>
          </w:p>
          <w:p w14:paraId="3B61B34B" w14:textId="3713733A" w:rsidR="005C1D46" w:rsidRPr="005C1D46" w:rsidRDefault="005C1D46" w:rsidP="005C1D46">
            <w:pPr>
              <w:jc w:val="both"/>
              <w:rPr>
                <w:lang w:val="kk-KZ"/>
              </w:rPr>
            </w:pPr>
            <w:r w:rsidRPr="005C1D46">
              <w:rPr>
                <w:lang w:val="kk-KZ"/>
              </w:rPr>
              <w:t>13 дана</w:t>
            </w:r>
          </w:p>
        </w:tc>
      </w:tr>
      <w:tr w:rsidR="005C1D46" w:rsidRPr="000179FF" w14:paraId="0F6B900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01BA48" w14:textId="490F9609" w:rsidR="005C1D46" w:rsidRPr="005C1D46" w:rsidRDefault="005C1D46" w:rsidP="000B4DA0">
            <w:pPr>
              <w:rPr>
                <w:lang w:val="kk-KZ"/>
              </w:rPr>
            </w:pPr>
            <w:r w:rsidRPr="005C1D46">
              <w:rPr>
                <w:lang w:val="kk-KZ"/>
              </w:rPr>
              <w:lastRenderedPageBreak/>
              <w:t xml:space="preserve">FortiSIEM 2000G жабдығына техникалық қолдауды ұзарту бойынша қызмет көрсетуге қойылатын техникалық талаптар </w:t>
            </w:r>
            <w:r w:rsidRPr="00EF46B9">
              <w:rPr>
                <w:lang w:val="kk-KZ"/>
              </w:rPr>
              <w:t>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F1C5957" w14:textId="77777777" w:rsidR="005C1D46" w:rsidRDefault="005C1D46" w:rsidP="00EF46B9">
            <w:pPr>
              <w:jc w:val="center"/>
              <w:rPr>
                <w:b/>
                <w:lang w:val="kk-KZ"/>
              </w:rPr>
            </w:pPr>
            <w:r w:rsidRPr="005C1D46">
              <w:rPr>
                <w:b/>
                <w:lang w:val="kk-KZ"/>
              </w:rPr>
              <w:t>FortiSIEM 2000G жабдығына техникалық қолдауды ұзарту бойынша қызмет көрсетуге қойылатын техникалық талаптар</w:t>
            </w:r>
          </w:p>
          <w:p w14:paraId="4E4232AC" w14:textId="77777777" w:rsidR="005C1D46" w:rsidRDefault="005C1D46" w:rsidP="00EF46B9">
            <w:pPr>
              <w:jc w:val="center"/>
              <w:rPr>
                <w:b/>
                <w:lang w:val="kk-KZ"/>
              </w:rPr>
            </w:pPr>
          </w:p>
          <w:p w14:paraId="52E56B19" w14:textId="77777777" w:rsidR="005C1D46" w:rsidRDefault="005C1D46" w:rsidP="005C1D46">
            <w:pPr>
              <w:jc w:val="both"/>
              <w:rPr>
                <w:lang w:val="kk-KZ"/>
              </w:rPr>
            </w:pPr>
            <w:r w:rsidRPr="005C1D46">
              <w:rPr>
                <w:lang w:val="kk-KZ"/>
              </w:rPr>
              <w:t>Техникалық қолдау көрсету және лицензияларды ұзарту шарттары:</w:t>
            </w:r>
          </w:p>
          <w:p w14:paraId="31CAABB3" w14:textId="77777777" w:rsidR="005C1D46" w:rsidRDefault="005C1D46" w:rsidP="005C1D46">
            <w:pPr>
              <w:jc w:val="both"/>
              <w:rPr>
                <w:lang w:val="kk-KZ"/>
              </w:rPr>
            </w:pPr>
          </w:p>
          <w:p w14:paraId="30CE1BB5" w14:textId="77777777" w:rsidR="005C1D46" w:rsidRDefault="005C1D46" w:rsidP="005C1D46">
            <w:pPr>
              <w:jc w:val="both"/>
              <w:rPr>
                <w:lang w:val="kk-KZ"/>
              </w:rPr>
            </w:pPr>
            <w:r w:rsidRPr="005C1D46">
              <w:rPr>
                <w:lang w:val="kk-KZ"/>
              </w:rPr>
              <w:t>Өндірушінің жабдықтың істен шығуы туралы тәулік бойы өтінімдерді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051CC687" w14:textId="77777777" w:rsidR="005C1D46" w:rsidRDefault="005C1D46" w:rsidP="005C1D46">
            <w:pPr>
              <w:jc w:val="both"/>
              <w:rPr>
                <w:lang w:val="kk-KZ"/>
              </w:rPr>
            </w:pPr>
          </w:p>
          <w:p w14:paraId="4B438C69" w14:textId="77777777" w:rsidR="005C1D46" w:rsidRDefault="005C1D46" w:rsidP="005C1D46">
            <w:pPr>
              <w:jc w:val="both"/>
              <w:rPr>
                <w:lang w:val="kk-KZ"/>
              </w:rPr>
            </w:pPr>
            <w:r w:rsidRPr="005C1D46">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1B0C79C2" w14:textId="77777777" w:rsidR="005C1D46" w:rsidRDefault="005C1D46" w:rsidP="005C1D46">
            <w:pPr>
              <w:jc w:val="both"/>
              <w:rPr>
                <w:lang w:val="kk-KZ"/>
              </w:rPr>
            </w:pPr>
          </w:p>
          <w:p w14:paraId="3B5C506A" w14:textId="77777777" w:rsidR="005C1D46" w:rsidRDefault="005C1D46" w:rsidP="005C1D46">
            <w:pPr>
              <w:jc w:val="both"/>
              <w:rPr>
                <w:lang w:val="kk-KZ"/>
              </w:rPr>
            </w:pPr>
            <w:r w:rsidRPr="005C1D46">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2AC3C698" w14:textId="77777777" w:rsidR="005C1D46" w:rsidRDefault="005C1D46" w:rsidP="005C1D46">
            <w:pPr>
              <w:jc w:val="both"/>
              <w:rPr>
                <w:lang w:val="kk-KZ"/>
              </w:rPr>
            </w:pPr>
          </w:p>
          <w:p w14:paraId="42AFE2B2" w14:textId="77777777" w:rsidR="005C1D46" w:rsidRDefault="005C1D46" w:rsidP="005C1D46">
            <w:pPr>
              <w:jc w:val="both"/>
              <w:rPr>
                <w:lang w:val="kk-KZ"/>
              </w:rPr>
            </w:pPr>
            <w:r w:rsidRPr="005C1D46">
              <w:rPr>
                <w:lang w:val="kk-KZ"/>
              </w:rPr>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27ABE50F" w14:textId="77777777" w:rsidR="005C1D46" w:rsidRDefault="005C1D46" w:rsidP="005C1D46">
            <w:pPr>
              <w:jc w:val="both"/>
              <w:rPr>
                <w:lang w:val="kk-KZ"/>
              </w:rPr>
            </w:pPr>
          </w:p>
          <w:p w14:paraId="128BF603" w14:textId="77777777" w:rsidR="005C1D46" w:rsidRDefault="005C1D46" w:rsidP="005C1D46">
            <w:pPr>
              <w:jc w:val="both"/>
              <w:rPr>
                <w:lang w:val="kk-KZ"/>
              </w:rPr>
            </w:pPr>
          </w:p>
          <w:p w14:paraId="1E27511A" w14:textId="77777777" w:rsidR="005C1D46" w:rsidRDefault="005C1D46" w:rsidP="005C1D46">
            <w:pPr>
              <w:jc w:val="both"/>
              <w:rPr>
                <w:lang w:val="kk-KZ"/>
              </w:rPr>
            </w:pPr>
            <w:r w:rsidRPr="005C1D46">
              <w:rPr>
                <w:lang w:val="kk-KZ"/>
              </w:rPr>
              <w:t>Лицензияға қойылатын талаптар:</w:t>
            </w:r>
          </w:p>
          <w:p w14:paraId="08F765F9" w14:textId="77777777" w:rsidR="005C1D46" w:rsidRDefault="005C1D46" w:rsidP="005C1D46">
            <w:pPr>
              <w:jc w:val="both"/>
              <w:rPr>
                <w:lang w:val="kk-KZ"/>
              </w:rPr>
            </w:pPr>
          </w:p>
          <w:p w14:paraId="081C35C0" w14:textId="77777777" w:rsidR="005C1D46" w:rsidRDefault="005C1D46" w:rsidP="005C1D46">
            <w:pPr>
              <w:jc w:val="both"/>
              <w:rPr>
                <w:lang w:val="kk-KZ"/>
              </w:rPr>
            </w:pPr>
            <w:r w:rsidRPr="005C1D46">
              <w:rPr>
                <w:lang w:val="kk-KZ"/>
              </w:rPr>
              <w:t>Бағдарламалық-аппараттық кешенді пайдалануға байланысты проблемаларды шешу үшін техникалық қолдауға жүгіну мүмкіндігі.</w:t>
            </w:r>
          </w:p>
          <w:p w14:paraId="5F29404F" w14:textId="77777777" w:rsidR="005C1D46" w:rsidRDefault="005C1D46" w:rsidP="005C1D46">
            <w:pPr>
              <w:jc w:val="both"/>
              <w:rPr>
                <w:lang w:val="kk-KZ"/>
              </w:rPr>
            </w:pPr>
          </w:p>
          <w:p w14:paraId="05413140" w14:textId="77777777" w:rsidR="005C1D46" w:rsidRDefault="005C1D46" w:rsidP="005C1D46">
            <w:pPr>
              <w:jc w:val="both"/>
              <w:rPr>
                <w:lang w:val="kk-KZ"/>
              </w:rPr>
            </w:pPr>
            <w:r w:rsidRPr="005C1D46">
              <w:rPr>
                <w:lang w:val="kk-KZ"/>
              </w:rPr>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0EE82B49" w14:textId="77777777" w:rsidR="005C1D46" w:rsidRDefault="005C1D46" w:rsidP="005C1D46">
            <w:pPr>
              <w:jc w:val="both"/>
              <w:rPr>
                <w:lang w:val="kk-KZ"/>
              </w:rPr>
            </w:pPr>
          </w:p>
          <w:p w14:paraId="13FB2791" w14:textId="77777777" w:rsidR="005C1D46" w:rsidRDefault="005C1D46" w:rsidP="005C1D46">
            <w:pPr>
              <w:jc w:val="both"/>
              <w:rPr>
                <w:lang w:val="kk-KZ"/>
              </w:rPr>
            </w:pPr>
            <w:r w:rsidRPr="005C1D46">
              <w:rPr>
                <w:lang w:val="kk-KZ"/>
              </w:rPr>
              <w:lastRenderedPageBreak/>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485839AB" w14:textId="77777777" w:rsidR="005C1D46" w:rsidRDefault="005C1D46" w:rsidP="005C1D46">
            <w:pPr>
              <w:jc w:val="both"/>
              <w:rPr>
                <w:lang w:val="kk-KZ"/>
              </w:rPr>
            </w:pPr>
          </w:p>
          <w:p w14:paraId="22B5397A" w14:textId="77777777" w:rsidR="005C1D46" w:rsidRDefault="005C1D46" w:rsidP="005C1D46">
            <w:pPr>
              <w:jc w:val="both"/>
              <w:rPr>
                <w:lang w:val="kk-KZ"/>
              </w:rPr>
            </w:pPr>
          </w:p>
          <w:p w14:paraId="3B9D10EF" w14:textId="77777777" w:rsidR="005C1D46" w:rsidRDefault="005C1D46" w:rsidP="005C1D46">
            <w:pPr>
              <w:jc w:val="both"/>
              <w:rPr>
                <w:lang w:val="kk-KZ"/>
              </w:rPr>
            </w:pPr>
            <w:r w:rsidRPr="005C1D46">
              <w:rPr>
                <w:lang w:val="kk-KZ"/>
              </w:rPr>
              <w:t>Сервистік лицензиялар мыналарды қамтуы керек:</w:t>
            </w:r>
          </w:p>
          <w:p w14:paraId="655D3E05" w14:textId="77777777" w:rsidR="005C1D46" w:rsidRDefault="005C1D46" w:rsidP="005C1D46">
            <w:pPr>
              <w:jc w:val="both"/>
              <w:rPr>
                <w:lang w:val="kk-KZ"/>
              </w:rPr>
            </w:pPr>
          </w:p>
          <w:p w14:paraId="78A0FCB1" w14:textId="77777777" w:rsidR="005C1D46" w:rsidRDefault="005C1D46" w:rsidP="005C1D46">
            <w:pPr>
              <w:jc w:val="both"/>
              <w:rPr>
                <w:lang w:val="kk-KZ"/>
              </w:rPr>
            </w:pPr>
            <w:r w:rsidRPr="005C1D46">
              <w:rPr>
                <w:lang w:val="kk-KZ"/>
              </w:rPr>
              <w:t>FortiCare Hardware Appliance only қызметі – өндірушінің техникалық қолдауы.</w:t>
            </w:r>
          </w:p>
          <w:p w14:paraId="68B548EC" w14:textId="77777777" w:rsidR="005C1D46" w:rsidRDefault="005C1D46" w:rsidP="005C1D46">
            <w:pPr>
              <w:jc w:val="both"/>
              <w:rPr>
                <w:lang w:val="kk-KZ"/>
              </w:rPr>
            </w:pPr>
          </w:p>
          <w:p w14:paraId="2F30EB45" w14:textId="77777777" w:rsidR="005C1D46" w:rsidRDefault="005C1D46" w:rsidP="005C1D46">
            <w:pPr>
              <w:jc w:val="both"/>
              <w:rPr>
                <w:lang w:val="kk-KZ"/>
              </w:rPr>
            </w:pPr>
            <w:r w:rsidRPr="005C1D46">
              <w:rPr>
                <w:lang w:val="kk-KZ"/>
              </w:rPr>
              <w:t>FortiCare Premium License Support қызметі –FortiSIEM үшін 100 поинтқа өндірушінің техникалық қолдауы.</w:t>
            </w:r>
          </w:p>
          <w:p w14:paraId="5FC9954F" w14:textId="77777777" w:rsidR="005C1D46" w:rsidRDefault="005C1D46" w:rsidP="005C1D46">
            <w:pPr>
              <w:jc w:val="both"/>
              <w:rPr>
                <w:lang w:val="kk-KZ"/>
              </w:rPr>
            </w:pPr>
          </w:p>
          <w:p w14:paraId="554BEC96" w14:textId="77777777" w:rsidR="005C1D46" w:rsidRDefault="005C1D46" w:rsidP="005C1D46">
            <w:pPr>
              <w:jc w:val="both"/>
              <w:rPr>
                <w:lang w:val="kk-KZ"/>
              </w:rPr>
            </w:pPr>
          </w:p>
          <w:p w14:paraId="32CBA0DA" w14:textId="77777777" w:rsidR="005C1D46" w:rsidRDefault="005C1D46" w:rsidP="005C1D46">
            <w:pPr>
              <w:jc w:val="both"/>
              <w:rPr>
                <w:lang w:val="kk-KZ"/>
              </w:rPr>
            </w:pPr>
            <w:r w:rsidRPr="005C1D46">
              <w:rPr>
                <w:lang w:val="kk-KZ"/>
              </w:rPr>
              <w:t>Fortinet FortiSIEM 2000G бағдарламалық-аппараттық кешенін пайдалану құқығына берілетін жыл сайынғы лицензиялар:</w:t>
            </w:r>
          </w:p>
          <w:p w14:paraId="535EBB8D" w14:textId="77777777" w:rsidR="005C1D46" w:rsidRDefault="005C1D46" w:rsidP="005C1D46">
            <w:pPr>
              <w:jc w:val="both"/>
              <w:rPr>
                <w:lang w:val="kk-KZ"/>
              </w:rPr>
            </w:pPr>
          </w:p>
          <w:p w14:paraId="4E543469" w14:textId="1C582D0B" w:rsidR="005C1D46" w:rsidRPr="005C1D46" w:rsidRDefault="005C1D46" w:rsidP="005C1D46">
            <w:pPr>
              <w:jc w:val="both"/>
              <w:rPr>
                <w:lang w:val="en-US"/>
              </w:rPr>
            </w:pPr>
            <w:r w:rsidRPr="005C1D46">
              <w:rPr>
                <w:lang w:val="kk-KZ"/>
              </w:rPr>
              <w:t>1 дана</w:t>
            </w:r>
            <w:r>
              <w:rPr>
                <w:lang w:val="en-US"/>
              </w:rPr>
              <w:t>.</w:t>
            </w:r>
          </w:p>
        </w:tc>
      </w:tr>
      <w:tr w:rsidR="005C1D46" w:rsidRPr="000179FF" w14:paraId="52F3AF0C"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A1FACF" w14:textId="4A452A5A" w:rsidR="005C1D46" w:rsidRPr="005C1D46" w:rsidRDefault="005C1D46" w:rsidP="000B4DA0">
            <w:pPr>
              <w:rPr>
                <w:lang w:val="kk-KZ"/>
              </w:rPr>
            </w:pPr>
            <w:r w:rsidRPr="005C1D46">
              <w:rPr>
                <w:lang w:val="kk-KZ"/>
              </w:rPr>
              <w:lastRenderedPageBreak/>
              <w:t>FortiAnalyzer 150G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1E0602F" w14:textId="77777777" w:rsidR="005C1D46" w:rsidRDefault="005C1D46" w:rsidP="00EF46B9">
            <w:pPr>
              <w:jc w:val="center"/>
              <w:rPr>
                <w:b/>
                <w:lang w:val="kk-KZ"/>
              </w:rPr>
            </w:pPr>
            <w:r w:rsidRPr="005C1D46">
              <w:rPr>
                <w:b/>
                <w:lang w:val="kk-KZ"/>
              </w:rPr>
              <w:t>FortiAnalyzer 150G жабдығына техникалық қолдауды ұзарту бойынша қызмет көрсетуге қойылатын техникалық талаптар</w:t>
            </w:r>
          </w:p>
          <w:p w14:paraId="42255B05" w14:textId="77777777" w:rsidR="005C1D46" w:rsidRDefault="005C1D46" w:rsidP="00EF46B9">
            <w:pPr>
              <w:jc w:val="center"/>
              <w:rPr>
                <w:b/>
                <w:lang w:val="kk-KZ"/>
              </w:rPr>
            </w:pPr>
          </w:p>
          <w:p w14:paraId="2085F16B" w14:textId="77777777" w:rsidR="005C1D46" w:rsidRDefault="005C1D46" w:rsidP="005C1D46">
            <w:pPr>
              <w:jc w:val="both"/>
              <w:rPr>
                <w:lang w:val="kk-KZ"/>
              </w:rPr>
            </w:pPr>
            <w:r w:rsidRPr="005C1D46">
              <w:rPr>
                <w:lang w:val="kk-KZ"/>
              </w:rPr>
              <w:t>Техникалық қолдау көрсету және лицензияларды ұзарту шарттары:</w:t>
            </w:r>
          </w:p>
          <w:p w14:paraId="73C8EA28" w14:textId="77777777" w:rsidR="005C1D46" w:rsidRDefault="005C1D46" w:rsidP="005C1D46">
            <w:pPr>
              <w:jc w:val="both"/>
              <w:rPr>
                <w:lang w:val="kk-KZ"/>
              </w:rPr>
            </w:pPr>
          </w:p>
          <w:p w14:paraId="2F5EA1A3" w14:textId="77777777" w:rsidR="005C1D46" w:rsidRDefault="005C1D46" w:rsidP="005C1D46">
            <w:pPr>
              <w:jc w:val="both"/>
              <w:rPr>
                <w:lang w:val="kk-KZ"/>
              </w:rPr>
            </w:pPr>
            <w:r w:rsidRPr="005C1D46">
              <w:rPr>
                <w:lang w:val="kk-KZ"/>
              </w:rPr>
              <w:t>Өндірушінің жабдықтың істен шығуы туралы тәулік бойы өтінімдерді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28E93153" w14:textId="77777777" w:rsidR="005C1D46" w:rsidRDefault="005C1D46" w:rsidP="005C1D46">
            <w:pPr>
              <w:jc w:val="both"/>
              <w:rPr>
                <w:lang w:val="kk-KZ"/>
              </w:rPr>
            </w:pPr>
          </w:p>
          <w:p w14:paraId="767FA2E6" w14:textId="77777777" w:rsidR="005C1D46" w:rsidRDefault="005C1D46" w:rsidP="005C1D46">
            <w:pPr>
              <w:jc w:val="both"/>
              <w:rPr>
                <w:lang w:val="kk-KZ"/>
              </w:rPr>
            </w:pPr>
            <w:r w:rsidRPr="005C1D46">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2A8EC977" w14:textId="77777777" w:rsidR="005C1D46" w:rsidRDefault="005C1D46" w:rsidP="005C1D46">
            <w:pPr>
              <w:jc w:val="both"/>
              <w:rPr>
                <w:lang w:val="kk-KZ"/>
              </w:rPr>
            </w:pPr>
          </w:p>
          <w:p w14:paraId="6D7FBABE" w14:textId="77777777" w:rsidR="005C1D46" w:rsidRDefault="005C1D46" w:rsidP="005C1D46">
            <w:pPr>
              <w:jc w:val="both"/>
              <w:rPr>
                <w:lang w:val="kk-KZ"/>
              </w:rPr>
            </w:pPr>
            <w:r w:rsidRPr="005C1D46">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29B5247A" w14:textId="77777777" w:rsidR="005C1D46" w:rsidRDefault="005C1D46" w:rsidP="005C1D46">
            <w:pPr>
              <w:jc w:val="both"/>
              <w:rPr>
                <w:lang w:val="kk-KZ"/>
              </w:rPr>
            </w:pPr>
          </w:p>
          <w:p w14:paraId="5B075D5F" w14:textId="77777777" w:rsidR="005C1D46" w:rsidRDefault="005C1D46" w:rsidP="005C1D46">
            <w:pPr>
              <w:jc w:val="both"/>
              <w:rPr>
                <w:lang w:val="kk-KZ"/>
              </w:rPr>
            </w:pPr>
            <w:r w:rsidRPr="005C1D46">
              <w:rPr>
                <w:lang w:val="kk-KZ"/>
              </w:rPr>
              <w:lastRenderedPageBreak/>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448F5267" w14:textId="77777777" w:rsidR="005C1D46" w:rsidRDefault="005C1D46" w:rsidP="005C1D46">
            <w:pPr>
              <w:jc w:val="both"/>
              <w:rPr>
                <w:lang w:val="kk-KZ"/>
              </w:rPr>
            </w:pPr>
          </w:p>
          <w:p w14:paraId="786466BC" w14:textId="77777777" w:rsidR="005C1D46" w:rsidRDefault="005C1D46" w:rsidP="005C1D46">
            <w:pPr>
              <w:jc w:val="both"/>
              <w:rPr>
                <w:lang w:val="kk-KZ"/>
              </w:rPr>
            </w:pPr>
          </w:p>
          <w:p w14:paraId="17306384" w14:textId="77777777" w:rsidR="005C1D46" w:rsidRDefault="005C1D46" w:rsidP="005C1D46">
            <w:pPr>
              <w:jc w:val="both"/>
              <w:rPr>
                <w:lang w:val="kk-KZ"/>
              </w:rPr>
            </w:pPr>
            <w:r w:rsidRPr="005C1D46">
              <w:rPr>
                <w:lang w:val="kk-KZ"/>
              </w:rPr>
              <w:t>Лицензияға қойылатын талаптар:</w:t>
            </w:r>
          </w:p>
          <w:p w14:paraId="149C87FD" w14:textId="77777777" w:rsidR="005C1D46" w:rsidRDefault="005C1D46" w:rsidP="005C1D46">
            <w:pPr>
              <w:jc w:val="both"/>
              <w:rPr>
                <w:lang w:val="kk-KZ"/>
              </w:rPr>
            </w:pPr>
          </w:p>
          <w:p w14:paraId="51EF0B14" w14:textId="77777777" w:rsidR="005C1D46" w:rsidRDefault="005C1D46" w:rsidP="005C1D46">
            <w:pPr>
              <w:jc w:val="both"/>
              <w:rPr>
                <w:lang w:val="kk-KZ"/>
              </w:rPr>
            </w:pPr>
            <w:r w:rsidRPr="005C1D46">
              <w:rPr>
                <w:lang w:val="kk-KZ"/>
              </w:rPr>
              <w:t>Бағдарламалық-аппараттық кешенді пайдалануға байланысты проблемаларды шешу үшін техникалық қолдауға жүгіну мүмкіндігі.</w:t>
            </w:r>
          </w:p>
          <w:p w14:paraId="4E057EEC" w14:textId="77777777" w:rsidR="005C1D46" w:rsidRDefault="005C1D46" w:rsidP="005C1D46">
            <w:pPr>
              <w:jc w:val="both"/>
              <w:rPr>
                <w:lang w:val="kk-KZ"/>
              </w:rPr>
            </w:pPr>
          </w:p>
          <w:p w14:paraId="2FEB123A" w14:textId="77777777" w:rsidR="005C1D46" w:rsidRDefault="005C1D46" w:rsidP="005C1D46">
            <w:pPr>
              <w:jc w:val="both"/>
              <w:rPr>
                <w:lang w:val="kk-KZ"/>
              </w:rPr>
            </w:pPr>
            <w:r w:rsidRPr="005C1D46">
              <w:rPr>
                <w:lang w:val="kk-KZ"/>
              </w:rPr>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3C601714" w14:textId="77777777" w:rsidR="005C1D46" w:rsidRDefault="005C1D46" w:rsidP="005C1D46">
            <w:pPr>
              <w:jc w:val="both"/>
              <w:rPr>
                <w:lang w:val="kk-KZ"/>
              </w:rPr>
            </w:pPr>
          </w:p>
          <w:p w14:paraId="2808ECDF" w14:textId="77777777" w:rsidR="005C1D46" w:rsidRDefault="005C1D46" w:rsidP="005C1D46">
            <w:pPr>
              <w:jc w:val="both"/>
              <w:rPr>
                <w:lang w:val="kk-KZ"/>
              </w:rPr>
            </w:pPr>
            <w:r w:rsidRPr="005C1D46">
              <w:rPr>
                <w:lang w:val="kk-KZ"/>
              </w:rPr>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6E048E65" w14:textId="77777777" w:rsidR="005C1D46" w:rsidRDefault="005C1D46" w:rsidP="005C1D46">
            <w:pPr>
              <w:jc w:val="both"/>
              <w:rPr>
                <w:lang w:val="kk-KZ"/>
              </w:rPr>
            </w:pPr>
          </w:p>
          <w:p w14:paraId="52A07225" w14:textId="77777777" w:rsidR="005C1D46" w:rsidRDefault="005C1D46" w:rsidP="005C1D46">
            <w:pPr>
              <w:jc w:val="both"/>
              <w:rPr>
                <w:lang w:val="kk-KZ"/>
              </w:rPr>
            </w:pPr>
          </w:p>
          <w:p w14:paraId="0F7E3BB7" w14:textId="77777777" w:rsidR="005C1D46" w:rsidRDefault="005C1D46" w:rsidP="005C1D46">
            <w:pPr>
              <w:jc w:val="both"/>
              <w:rPr>
                <w:lang w:val="kk-KZ"/>
              </w:rPr>
            </w:pPr>
            <w:r w:rsidRPr="005C1D46">
              <w:rPr>
                <w:lang w:val="kk-KZ"/>
              </w:rPr>
              <w:t>Сервистік лицензиялар мыналарды қамтуы керек:</w:t>
            </w:r>
          </w:p>
          <w:p w14:paraId="50A500AC" w14:textId="77777777" w:rsidR="005C1D46" w:rsidRDefault="005C1D46" w:rsidP="005C1D46">
            <w:pPr>
              <w:jc w:val="both"/>
              <w:rPr>
                <w:lang w:val="kk-KZ"/>
              </w:rPr>
            </w:pPr>
          </w:p>
          <w:p w14:paraId="4AD96AEC" w14:textId="77777777" w:rsidR="005C1D46" w:rsidRDefault="005C1D46" w:rsidP="005C1D46">
            <w:pPr>
              <w:jc w:val="both"/>
              <w:rPr>
                <w:lang w:val="kk-KZ"/>
              </w:rPr>
            </w:pPr>
            <w:r w:rsidRPr="005C1D46">
              <w:rPr>
                <w:lang w:val="kk-KZ"/>
              </w:rPr>
              <w:t>FortiCare қызметі – өндірушінің техникалық қолдауы.</w:t>
            </w:r>
          </w:p>
          <w:p w14:paraId="0253E7BE" w14:textId="77777777" w:rsidR="005C1D46" w:rsidRDefault="005C1D46" w:rsidP="005C1D46">
            <w:pPr>
              <w:jc w:val="both"/>
              <w:rPr>
                <w:lang w:val="kk-KZ"/>
              </w:rPr>
            </w:pPr>
          </w:p>
          <w:p w14:paraId="32730D69" w14:textId="77777777" w:rsidR="005C1D46" w:rsidRDefault="005C1D46" w:rsidP="005C1D46">
            <w:pPr>
              <w:jc w:val="both"/>
              <w:rPr>
                <w:lang w:val="kk-KZ"/>
              </w:rPr>
            </w:pPr>
          </w:p>
          <w:p w14:paraId="7B6029E5" w14:textId="77777777" w:rsidR="005C1D46" w:rsidRDefault="005C1D46" w:rsidP="005C1D46">
            <w:pPr>
              <w:jc w:val="both"/>
              <w:rPr>
                <w:lang w:val="kk-KZ"/>
              </w:rPr>
            </w:pPr>
            <w:r w:rsidRPr="005C1D46">
              <w:rPr>
                <w:lang w:val="kk-KZ"/>
              </w:rPr>
              <w:t>Fortinet FortiAnalyzer 150G бағдарламалық-аппараттық кешенін пайдалану құқығына берілетін жыл сайынғы лицензиялар:</w:t>
            </w:r>
          </w:p>
          <w:p w14:paraId="76370581" w14:textId="77777777" w:rsidR="005C1D46" w:rsidRDefault="005C1D46" w:rsidP="005C1D46">
            <w:pPr>
              <w:jc w:val="both"/>
              <w:rPr>
                <w:lang w:val="kk-KZ"/>
              </w:rPr>
            </w:pPr>
          </w:p>
          <w:p w14:paraId="041FCC77" w14:textId="63F7D55B" w:rsidR="005C1D46" w:rsidRPr="005C1D46" w:rsidRDefault="005C1D46" w:rsidP="005C1D46">
            <w:pPr>
              <w:jc w:val="both"/>
            </w:pPr>
            <w:r>
              <w:rPr>
                <w:lang w:val="en-US"/>
              </w:rPr>
              <w:t xml:space="preserve">1 </w:t>
            </w:r>
            <w:r>
              <w:t>дана</w:t>
            </w:r>
          </w:p>
        </w:tc>
      </w:tr>
      <w:tr w:rsidR="005C1D46" w:rsidRPr="000179FF" w14:paraId="5915C2A9"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D0C1A6" w14:textId="28089B83" w:rsidR="005C1D46" w:rsidRPr="005C1D46" w:rsidRDefault="005C1D46" w:rsidP="000B4DA0">
            <w:pPr>
              <w:rPr>
                <w:lang w:val="kk-KZ"/>
              </w:rPr>
            </w:pPr>
            <w:r w:rsidRPr="005C1D46">
              <w:rPr>
                <w:lang w:val="kk-KZ"/>
              </w:rPr>
              <w:lastRenderedPageBreak/>
              <w:t xml:space="preserve">FortiMail 200F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w:t>
            </w:r>
            <w:r w:rsidRPr="005C1D46">
              <w:rPr>
                <w:lang w:val="kk-KZ"/>
              </w:rPr>
              <w:lastRenderedPageBreak/>
              <w:t>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ED0E8DB" w14:textId="77777777" w:rsidR="005C1D46" w:rsidRDefault="005C1D46" w:rsidP="00EF46B9">
            <w:pPr>
              <w:jc w:val="center"/>
              <w:rPr>
                <w:b/>
                <w:lang w:val="kk-KZ"/>
              </w:rPr>
            </w:pPr>
            <w:r w:rsidRPr="005C1D46">
              <w:rPr>
                <w:b/>
                <w:lang w:val="kk-KZ"/>
              </w:rPr>
              <w:lastRenderedPageBreak/>
              <w:t>FortiMail 200F жабдығына техникалық қолдауды ұзарту бойынша қызмет көрсетуге қойылатын техникалық талаптар</w:t>
            </w:r>
          </w:p>
          <w:p w14:paraId="6920EDAE" w14:textId="77777777" w:rsidR="005C1D46" w:rsidRDefault="005C1D46" w:rsidP="00EF46B9">
            <w:pPr>
              <w:jc w:val="center"/>
              <w:rPr>
                <w:b/>
                <w:lang w:val="kk-KZ"/>
              </w:rPr>
            </w:pPr>
          </w:p>
          <w:p w14:paraId="7F092EC5" w14:textId="77777777" w:rsidR="005C1D46" w:rsidRDefault="005C1D46" w:rsidP="005C1D46">
            <w:pPr>
              <w:jc w:val="both"/>
              <w:rPr>
                <w:lang w:val="kk-KZ"/>
              </w:rPr>
            </w:pPr>
            <w:r w:rsidRPr="005C1D46">
              <w:rPr>
                <w:lang w:val="kk-KZ"/>
              </w:rPr>
              <w:t>Техникалық қолдау көрсету және лицензияларды ұзарту шарттары:</w:t>
            </w:r>
          </w:p>
          <w:p w14:paraId="1DEAE452" w14:textId="77777777" w:rsidR="005C1D46" w:rsidRDefault="005C1D46" w:rsidP="005C1D46">
            <w:pPr>
              <w:jc w:val="both"/>
              <w:rPr>
                <w:lang w:val="kk-KZ"/>
              </w:rPr>
            </w:pPr>
          </w:p>
          <w:p w14:paraId="7CA7085A" w14:textId="77777777" w:rsidR="005C1D46" w:rsidRDefault="005C1D46" w:rsidP="005C1D46">
            <w:pPr>
              <w:jc w:val="both"/>
              <w:rPr>
                <w:lang w:val="kk-KZ"/>
              </w:rPr>
            </w:pPr>
            <w:r w:rsidRPr="005C1D46">
              <w:rPr>
                <w:lang w:val="kk-KZ"/>
              </w:rPr>
              <w:lastRenderedPageBreak/>
              <w:t>Өндірушінің жабдықтың істен шығуы туралы тәулік бойы өтінімдерді қабылдауы. Сұрау салуға жауап беру уақыты бойынша міндеттемелер Тапсырыс берушінің атына жарамды жабдықты жеткізу сәтінде орындалған болып есептеледі.</w:t>
            </w:r>
          </w:p>
          <w:p w14:paraId="0860B308" w14:textId="77777777" w:rsidR="005C1D46" w:rsidRDefault="005C1D46" w:rsidP="005C1D46">
            <w:pPr>
              <w:jc w:val="both"/>
              <w:rPr>
                <w:lang w:val="kk-KZ"/>
              </w:rPr>
            </w:pPr>
          </w:p>
          <w:p w14:paraId="10C301B0" w14:textId="77777777" w:rsidR="005C1D46" w:rsidRDefault="005C1D46" w:rsidP="005C1D46">
            <w:pPr>
              <w:jc w:val="both"/>
              <w:rPr>
                <w:lang w:val="kk-KZ"/>
              </w:rPr>
            </w:pPr>
            <w:r w:rsidRPr="005C1D46">
              <w:rPr>
                <w:lang w:val="kk-KZ"/>
              </w:rPr>
              <w:t>Сатып алынған сәттен бастап жабдыққа кепілдік 12 ай. Кепілдік мерзімі кезеңінде Өндіруші мәлімделген сипаттамалары бар жабдықтың аппараттық және бағдарламалық бөліктерінің жұмыс қабілеттілігін қамтамасыз етеді.</w:t>
            </w:r>
          </w:p>
          <w:p w14:paraId="25EAD951" w14:textId="77777777" w:rsidR="005C1D46" w:rsidRDefault="005C1D46" w:rsidP="005C1D46">
            <w:pPr>
              <w:jc w:val="both"/>
              <w:rPr>
                <w:lang w:val="kk-KZ"/>
              </w:rPr>
            </w:pPr>
          </w:p>
          <w:p w14:paraId="6CF362AB" w14:textId="77777777" w:rsidR="005C1D46" w:rsidRDefault="005C1D46" w:rsidP="005C1D46">
            <w:pPr>
              <w:jc w:val="both"/>
              <w:rPr>
                <w:lang w:val="kk-KZ"/>
              </w:rPr>
            </w:pPr>
            <w:r w:rsidRPr="005C1D46">
              <w:rPr>
                <w:lang w:val="kk-KZ"/>
              </w:rPr>
              <w:t>Техникалық қолдаудың сипаттамасы: жеткізілетін жылдық техникалық қолдау жаңартуларды алуға және бағдарламалық-аппараттық кешенге техникалық қолдау алуға құқық береді.</w:t>
            </w:r>
          </w:p>
          <w:p w14:paraId="0C9E108A" w14:textId="77777777" w:rsidR="005C1D46" w:rsidRDefault="005C1D46" w:rsidP="005C1D46">
            <w:pPr>
              <w:jc w:val="both"/>
              <w:rPr>
                <w:lang w:val="kk-KZ"/>
              </w:rPr>
            </w:pPr>
          </w:p>
          <w:p w14:paraId="592B3712" w14:textId="77777777" w:rsidR="005C1D46" w:rsidRDefault="005C1D46" w:rsidP="005C1D46">
            <w:pPr>
              <w:jc w:val="both"/>
              <w:rPr>
                <w:lang w:val="kk-KZ"/>
              </w:rPr>
            </w:pPr>
            <w:r w:rsidRPr="005C1D46">
              <w:rPr>
                <w:lang w:val="kk-KZ"/>
              </w:rPr>
              <w:t>Техникалық қолдаудың қолданылу мерзімі лицензия іске қосылған сәттен бастап кемінде 12 айды құрауы тиіс. Қолдау лицензияны сатып алған сәттен бастап, уақыт белдеуін ескере отырып, мереке және демалыс күндерін қосқанда жылына 24x7, 365 күн режимінде жүзеге асырылуы керек.</w:t>
            </w:r>
          </w:p>
          <w:p w14:paraId="35C41B5D" w14:textId="77777777" w:rsidR="005C1D46" w:rsidRDefault="005C1D46" w:rsidP="005C1D46">
            <w:pPr>
              <w:jc w:val="both"/>
              <w:rPr>
                <w:lang w:val="kk-KZ"/>
              </w:rPr>
            </w:pPr>
          </w:p>
          <w:p w14:paraId="0F95BB35" w14:textId="77777777" w:rsidR="005C1D46" w:rsidRDefault="005C1D46" w:rsidP="005C1D46">
            <w:pPr>
              <w:jc w:val="both"/>
              <w:rPr>
                <w:lang w:val="kk-KZ"/>
              </w:rPr>
            </w:pPr>
          </w:p>
          <w:p w14:paraId="2EFD466A" w14:textId="77777777" w:rsidR="005C1D46" w:rsidRDefault="005C1D46" w:rsidP="005C1D46">
            <w:pPr>
              <w:jc w:val="both"/>
              <w:rPr>
                <w:lang w:val="kk-KZ"/>
              </w:rPr>
            </w:pPr>
            <w:r w:rsidRPr="005C1D46">
              <w:rPr>
                <w:lang w:val="kk-KZ"/>
              </w:rPr>
              <w:t>Лицензияға қойылатын талаптар:</w:t>
            </w:r>
          </w:p>
          <w:p w14:paraId="53025541" w14:textId="77777777" w:rsidR="005C1D46" w:rsidRDefault="005C1D46" w:rsidP="005C1D46">
            <w:pPr>
              <w:jc w:val="both"/>
              <w:rPr>
                <w:lang w:val="kk-KZ"/>
              </w:rPr>
            </w:pPr>
          </w:p>
          <w:p w14:paraId="41773F18" w14:textId="77777777" w:rsidR="005C1D46" w:rsidRDefault="005C1D46" w:rsidP="005C1D46">
            <w:pPr>
              <w:jc w:val="both"/>
              <w:rPr>
                <w:lang w:val="kk-KZ"/>
              </w:rPr>
            </w:pPr>
            <w:r w:rsidRPr="005C1D46">
              <w:rPr>
                <w:lang w:val="kk-KZ"/>
              </w:rPr>
              <w:t>Бағдарламалық-аппараттық кешенді пайдалануға байланысты проблемаларды шешу үшін техникалық қолдауға жүгіну мүмкіндігі.</w:t>
            </w:r>
          </w:p>
          <w:p w14:paraId="5161E9AC" w14:textId="77777777" w:rsidR="005C1D46" w:rsidRDefault="005C1D46" w:rsidP="005C1D46">
            <w:pPr>
              <w:jc w:val="both"/>
              <w:rPr>
                <w:lang w:val="kk-KZ"/>
              </w:rPr>
            </w:pPr>
          </w:p>
          <w:p w14:paraId="56CF5353" w14:textId="77777777" w:rsidR="005C1D46" w:rsidRDefault="005C1D46" w:rsidP="005C1D46">
            <w:pPr>
              <w:jc w:val="both"/>
              <w:rPr>
                <w:lang w:val="kk-KZ"/>
              </w:rPr>
            </w:pPr>
            <w:r w:rsidRPr="005C1D46">
              <w:rPr>
                <w:lang w:val="kk-KZ"/>
              </w:rPr>
              <w:t>Техникалық қолдауға арналған лицензияның қолданылу мерзімі ішінде бағдарламалық-аппараттық кешенге арналған бағдарламалық қамтым жаңартуларын алу мүмкіндігі.</w:t>
            </w:r>
          </w:p>
          <w:p w14:paraId="5A3372D9" w14:textId="77777777" w:rsidR="005C1D46" w:rsidRDefault="005C1D46" w:rsidP="005C1D46">
            <w:pPr>
              <w:jc w:val="both"/>
              <w:rPr>
                <w:lang w:val="kk-KZ"/>
              </w:rPr>
            </w:pPr>
          </w:p>
          <w:p w14:paraId="58F67764" w14:textId="77777777" w:rsidR="005C1D46" w:rsidRDefault="005C1D46" w:rsidP="005C1D46">
            <w:pPr>
              <w:jc w:val="both"/>
              <w:rPr>
                <w:lang w:val="kk-KZ"/>
              </w:rPr>
            </w:pPr>
            <w:r w:rsidRPr="005C1D46">
              <w:rPr>
                <w:lang w:val="kk-KZ"/>
              </w:rPr>
              <w:t>Техникалық қолдаудың қолданылу мерзімі ішінде бағдарламалық-аппараттық кешенде пайдаланылатын сигнатуралардың барлық қажетті жаңартуларын алу үшін жаңарту сервисіне қолжетімділікті қамтамасыз ету.</w:t>
            </w:r>
          </w:p>
          <w:p w14:paraId="2E389175" w14:textId="77777777" w:rsidR="00B61568" w:rsidRDefault="00B61568" w:rsidP="005C1D46">
            <w:pPr>
              <w:jc w:val="both"/>
              <w:rPr>
                <w:lang w:val="kk-KZ"/>
              </w:rPr>
            </w:pPr>
          </w:p>
          <w:p w14:paraId="33E46E9E" w14:textId="77777777" w:rsidR="00B61568" w:rsidRDefault="00B61568" w:rsidP="005C1D46">
            <w:pPr>
              <w:jc w:val="both"/>
              <w:rPr>
                <w:lang w:val="kk-KZ"/>
              </w:rPr>
            </w:pPr>
          </w:p>
          <w:p w14:paraId="506E3FC8" w14:textId="77777777" w:rsidR="00B61568" w:rsidRDefault="00B61568" w:rsidP="005C1D46">
            <w:pPr>
              <w:jc w:val="both"/>
              <w:rPr>
                <w:lang w:val="kk-KZ"/>
              </w:rPr>
            </w:pPr>
            <w:r w:rsidRPr="00B61568">
              <w:rPr>
                <w:lang w:val="kk-KZ"/>
              </w:rPr>
              <w:t>Сервистік лицензиялар мыналарды қамтуы керек:</w:t>
            </w:r>
          </w:p>
          <w:p w14:paraId="60CA1C5C" w14:textId="77777777" w:rsidR="00B61568" w:rsidRDefault="00B61568" w:rsidP="005C1D46">
            <w:pPr>
              <w:jc w:val="both"/>
              <w:rPr>
                <w:lang w:val="kk-KZ"/>
              </w:rPr>
            </w:pPr>
          </w:p>
          <w:p w14:paraId="41A98B40" w14:textId="77777777" w:rsidR="00B61568" w:rsidRDefault="00B61568" w:rsidP="005C1D46">
            <w:pPr>
              <w:jc w:val="both"/>
              <w:rPr>
                <w:lang w:val="kk-KZ"/>
              </w:rPr>
            </w:pPr>
            <w:r w:rsidRPr="00B61568">
              <w:rPr>
                <w:lang w:val="kk-KZ"/>
              </w:rPr>
              <w:t>Жетілдірілген көп деңгейлі зиянды бағдарламаны анықтау – Өндірушіден кемінде бір жыл сигнатураларды жаңарту.</w:t>
            </w:r>
          </w:p>
          <w:p w14:paraId="360DD047" w14:textId="77777777" w:rsidR="00B61568" w:rsidRDefault="00B61568" w:rsidP="005C1D46">
            <w:pPr>
              <w:jc w:val="both"/>
              <w:rPr>
                <w:lang w:val="kk-KZ"/>
              </w:rPr>
            </w:pPr>
          </w:p>
          <w:p w14:paraId="1ECC32C7" w14:textId="77777777" w:rsidR="00B61568" w:rsidRDefault="00B61568" w:rsidP="005C1D46">
            <w:pPr>
              <w:jc w:val="both"/>
              <w:rPr>
                <w:lang w:val="kk-KZ"/>
              </w:rPr>
            </w:pPr>
            <w:r w:rsidRPr="00B61568">
              <w:rPr>
                <w:lang w:val="kk-KZ"/>
              </w:rPr>
              <w:t>Кіріс және шығыс хабарламаларды сүзгілеу – Өндірушіден кемінде бір жыл сигнатураларды жаңарту.</w:t>
            </w:r>
          </w:p>
          <w:p w14:paraId="09CB2562" w14:textId="77777777" w:rsidR="00B61568" w:rsidRDefault="00B61568" w:rsidP="005C1D46">
            <w:pPr>
              <w:jc w:val="both"/>
              <w:rPr>
                <w:lang w:val="kk-KZ"/>
              </w:rPr>
            </w:pPr>
          </w:p>
          <w:p w14:paraId="04003F14" w14:textId="77777777" w:rsidR="00B61568" w:rsidRDefault="00B61568" w:rsidP="005C1D46">
            <w:pPr>
              <w:jc w:val="both"/>
              <w:rPr>
                <w:lang w:val="kk-KZ"/>
              </w:rPr>
            </w:pPr>
            <w:r w:rsidRPr="00B61568">
              <w:rPr>
                <w:lang w:val="kk-KZ"/>
              </w:rPr>
              <w:t>Вирустың өршуіне қарсы қызмет - Өндірушіден кемінде бір жыл қолданба сигнатураларын жаңарту.</w:t>
            </w:r>
          </w:p>
          <w:p w14:paraId="1947FCD3" w14:textId="77777777" w:rsidR="00B61568" w:rsidRDefault="00B61568" w:rsidP="005C1D46">
            <w:pPr>
              <w:jc w:val="both"/>
              <w:rPr>
                <w:lang w:val="kk-KZ"/>
              </w:rPr>
            </w:pPr>
          </w:p>
          <w:p w14:paraId="3858C94C" w14:textId="77777777" w:rsidR="00B61568" w:rsidRDefault="00B61568" w:rsidP="005C1D46">
            <w:pPr>
              <w:jc w:val="both"/>
              <w:rPr>
                <w:lang w:val="kk-KZ"/>
              </w:rPr>
            </w:pPr>
            <w:r w:rsidRPr="00B61568">
              <w:rPr>
                <w:lang w:val="kk-KZ"/>
              </w:rPr>
              <w:t>URL-мекенжайларын кликтерден қорғау - Өндірушіден кемінде бір жыл қолданба сигнатураларын жаңарту.</w:t>
            </w:r>
          </w:p>
          <w:p w14:paraId="4E87D6C4" w14:textId="77777777" w:rsidR="00B61568" w:rsidRDefault="00B61568" w:rsidP="005C1D46">
            <w:pPr>
              <w:jc w:val="both"/>
              <w:rPr>
                <w:lang w:val="kk-KZ"/>
              </w:rPr>
            </w:pPr>
          </w:p>
          <w:p w14:paraId="7021F0C5" w14:textId="77777777" w:rsidR="00B61568" w:rsidRDefault="00B61568" w:rsidP="005C1D46">
            <w:pPr>
              <w:jc w:val="both"/>
              <w:rPr>
                <w:lang w:val="kk-KZ"/>
              </w:rPr>
            </w:pPr>
            <w:r w:rsidRPr="00B61568">
              <w:rPr>
                <w:lang w:val="kk-KZ"/>
              </w:rPr>
              <w:t>FortiSandbox Cloud —бұл бұрын белгісіз зиянды БҚ анықтау үшін динамикалық талдау жүргізетін озық қауіптерді анықтау шешімі. FortiCloud Sandbox «құм жәшігі» жасаған соңғы деректер, қауіпті залалсыздандыру үшін желі ішіндегі профилактикалық тексеру жүйелеріне түседі.</w:t>
            </w:r>
          </w:p>
          <w:p w14:paraId="72F4FF6A" w14:textId="77777777" w:rsidR="00B61568" w:rsidRDefault="00B61568" w:rsidP="005C1D46">
            <w:pPr>
              <w:jc w:val="both"/>
              <w:rPr>
                <w:lang w:val="kk-KZ"/>
              </w:rPr>
            </w:pPr>
          </w:p>
          <w:p w14:paraId="4F47D405" w14:textId="77777777" w:rsidR="00B61568" w:rsidRDefault="00B61568" w:rsidP="005C1D46">
            <w:pPr>
              <w:jc w:val="both"/>
              <w:rPr>
                <w:lang w:val="kk-KZ"/>
              </w:rPr>
            </w:pPr>
            <w:r w:rsidRPr="00B61568">
              <w:rPr>
                <w:lang w:val="kk-KZ"/>
              </w:rPr>
              <w:t>FortiCare қызметі – өндірушінің техникалық қолдауы</w:t>
            </w:r>
            <w:r>
              <w:rPr>
                <w:lang w:val="kk-KZ"/>
              </w:rPr>
              <w:t>.</w:t>
            </w:r>
          </w:p>
          <w:p w14:paraId="67907DDF" w14:textId="77777777" w:rsidR="00B61568" w:rsidRDefault="00B61568" w:rsidP="005C1D46">
            <w:pPr>
              <w:jc w:val="both"/>
              <w:rPr>
                <w:lang w:val="kk-KZ"/>
              </w:rPr>
            </w:pPr>
          </w:p>
          <w:p w14:paraId="1DEC6EE8" w14:textId="77777777" w:rsidR="00B61568" w:rsidRDefault="00B61568" w:rsidP="005C1D46">
            <w:pPr>
              <w:jc w:val="both"/>
              <w:rPr>
                <w:lang w:val="kk-KZ"/>
              </w:rPr>
            </w:pPr>
            <w:r w:rsidRPr="00B61568">
              <w:rPr>
                <w:lang w:val="kk-KZ"/>
              </w:rPr>
              <w:t>Fortinet FortiMail 200F бағдарламалық-аппараттық кешенін пайдалану құқығына берілетін жыл сайынғы лицензиялар:</w:t>
            </w:r>
          </w:p>
          <w:p w14:paraId="2699A9C0" w14:textId="77777777" w:rsidR="00B61568" w:rsidRDefault="00B61568" w:rsidP="005C1D46">
            <w:pPr>
              <w:jc w:val="both"/>
              <w:rPr>
                <w:lang w:val="kk-KZ"/>
              </w:rPr>
            </w:pPr>
          </w:p>
          <w:p w14:paraId="75A1BE7D" w14:textId="2A5C48F4" w:rsidR="00B61568" w:rsidRPr="00B61568" w:rsidRDefault="00B61568" w:rsidP="005C1D46">
            <w:pPr>
              <w:jc w:val="both"/>
            </w:pPr>
            <w:r>
              <w:t>1 дана</w:t>
            </w:r>
          </w:p>
        </w:tc>
      </w:tr>
      <w:tr w:rsidR="00EA0856" w:rsidRPr="000179FF" w14:paraId="0CE7AB73"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B4B65" w14:textId="315DED88" w:rsidR="00EA0856" w:rsidRPr="00EA0856" w:rsidRDefault="00EA0856" w:rsidP="001B5324">
            <w:pPr>
              <w:textAlignment w:val="baseline"/>
              <w:rPr>
                <w:lang w:val="kk-KZ"/>
              </w:rPr>
            </w:pPr>
            <w:r w:rsidRPr="00EA0856">
              <w:rPr>
                <w:lang w:val="kk-KZ"/>
              </w:rPr>
              <w:lastRenderedPageBreak/>
              <w:t>Техникалық қолдауды ұзарту үшін жабдық тізімі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tbl>
            <w:tblPr>
              <w:tblStyle w:val="af"/>
              <w:tblW w:w="0" w:type="auto"/>
              <w:tblLook w:val="04A0" w:firstRow="1" w:lastRow="0" w:firstColumn="1" w:lastColumn="0" w:noHBand="0" w:noVBand="1"/>
            </w:tblPr>
            <w:tblGrid>
              <w:gridCol w:w="3114"/>
              <w:gridCol w:w="3115"/>
              <w:gridCol w:w="3115"/>
            </w:tblGrid>
            <w:tr w:rsidR="00EA0856" w14:paraId="49D83CB9" w14:textId="77777777" w:rsidTr="00EA0856">
              <w:tc>
                <w:tcPr>
                  <w:tcW w:w="3114" w:type="dxa"/>
                  <w:tcBorders>
                    <w:top w:val="single" w:sz="4" w:space="0" w:color="auto"/>
                    <w:left w:val="single" w:sz="4" w:space="0" w:color="auto"/>
                    <w:bottom w:val="single" w:sz="4" w:space="0" w:color="auto"/>
                    <w:right w:val="single" w:sz="4" w:space="0" w:color="auto"/>
                  </w:tcBorders>
                  <w:hideMark/>
                </w:tcPr>
                <w:p w14:paraId="2B578C9A" w14:textId="7A835018" w:rsidR="00EA0856" w:rsidRPr="00EA0856" w:rsidRDefault="00EA0856" w:rsidP="00EA0856">
                  <w:pPr>
                    <w:rPr>
                      <w:b/>
                      <w:color w:val="auto"/>
                      <w:szCs w:val="22"/>
                      <w:lang w:val="kk-KZ"/>
                    </w:rPr>
                  </w:pPr>
                  <w:r>
                    <w:rPr>
                      <w:b/>
                      <w:lang w:val="kk-KZ"/>
                    </w:rPr>
                    <w:t>Бөлшек</w:t>
                  </w:r>
                  <w:r>
                    <w:rPr>
                      <w:b/>
                    </w:rPr>
                    <w:t>-</w:t>
                  </w:r>
                  <w:r>
                    <w:rPr>
                      <w:b/>
                      <w:lang w:val="kk-KZ"/>
                    </w:rPr>
                    <w:t>нөмірі</w:t>
                  </w:r>
                </w:p>
              </w:tc>
              <w:tc>
                <w:tcPr>
                  <w:tcW w:w="3115" w:type="dxa"/>
                  <w:tcBorders>
                    <w:top w:val="single" w:sz="4" w:space="0" w:color="auto"/>
                    <w:left w:val="single" w:sz="4" w:space="0" w:color="auto"/>
                    <w:bottom w:val="single" w:sz="4" w:space="0" w:color="auto"/>
                    <w:right w:val="single" w:sz="4" w:space="0" w:color="auto"/>
                  </w:tcBorders>
                  <w:hideMark/>
                </w:tcPr>
                <w:p w14:paraId="58B9AA3D" w14:textId="05C61513" w:rsidR="00EA0856" w:rsidRPr="00EA0856" w:rsidRDefault="00EA0856" w:rsidP="00EA0856">
                  <w:pPr>
                    <w:rPr>
                      <w:b/>
                      <w:lang w:val="kk-KZ"/>
                    </w:rPr>
                  </w:pPr>
                  <w:r>
                    <w:rPr>
                      <w:b/>
                      <w:lang w:val="kk-KZ"/>
                    </w:rPr>
                    <w:t>Сипаттамасы</w:t>
                  </w:r>
                </w:p>
              </w:tc>
              <w:tc>
                <w:tcPr>
                  <w:tcW w:w="3115" w:type="dxa"/>
                  <w:tcBorders>
                    <w:top w:val="single" w:sz="4" w:space="0" w:color="auto"/>
                    <w:left w:val="single" w:sz="4" w:space="0" w:color="auto"/>
                    <w:bottom w:val="single" w:sz="4" w:space="0" w:color="auto"/>
                    <w:right w:val="single" w:sz="4" w:space="0" w:color="auto"/>
                  </w:tcBorders>
                  <w:hideMark/>
                </w:tcPr>
                <w:p w14:paraId="65C4CC23" w14:textId="748C46FE" w:rsidR="00EA0856" w:rsidRPr="00EA0856" w:rsidRDefault="00EA0856" w:rsidP="00EA0856">
                  <w:pPr>
                    <w:rPr>
                      <w:b/>
                      <w:lang w:val="kk-KZ"/>
                    </w:rPr>
                  </w:pPr>
                  <w:r>
                    <w:rPr>
                      <w:b/>
                      <w:lang w:val="kk-KZ"/>
                    </w:rPr>
                    <w:t>Саны</w:t>
                  </w:r>
                </w:p>
              </w:tc>
            </w:tr>
            <w:tr w:rsidR="00EA0856" w14:paraId="62380BD9"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079E4F2A" w14:textId="77777777" w:rsidR="00EA0856" w:rsidRDefault="00EA0856" w:rsidP="00EA0856">
                  <w:pPr>
                    <w:jc w:val="center"/>
                  </w:pPr>
                  <w:r>
                    <w:t>FC-10-0600F-950-02-12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5F4FBC72" w14:textId="77777777" w:rsidR="00EA0856" w:rsidRDefault="00EA0856" w:rsidP="00EA0856">
                  <w:pPr>
                    <w:rPr>
                      <w:lang w:val="en-US"/>
                    </w:rPr>
                  </w:pPr>
                  <w:r>
                    <w:rPr>
                      <w:lang w:val="en-US"/>
                    </w:rPr>
                    <w:t xml:space="preserve">FortiGate-600F 1 Year Unified Threat Protection (UTP) (IPS, Advanced Malware Protection, Application Control, URL, DNS &amp; Video Filtering, Antispam Service, and </w:t>
                  </w:r>
                  <w:proofErr w:type="spellStart"/>
                  <w:r>
                    <w:rPr>
                      <w:lang w:val="en-US"/>
                    </w:rPr>
                    <w:t>FortiCare</w:t>
                  </w:r>
                  <w:proofErr w:type="spellEnd"/>
                  <w:r>
                    <w:rPr>
                      <w:lang w:val="en-US"/>
                    </w:rPr>
                    <w:t xml:space="preserve"> Premium)</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0FD587A" w14:textId="77777777" w:rsidR="00EA0856" w:rsidRDefault="00EA0856" w:rsidP="00EA0856">
                  <w:pPr>
                    <w:jc w:val="center"/>
                  </w:pPr>
                  <w:r>
                    <w:t>2</w:t>
                  </w:r>
                </w:p>
              </w:tc>
            </w:tr>
            <w:tr w:rsidR="00EA0856" w14:paraId="224779B2"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1B2B6145" w14:textId="77777777" w:rsidR="00EA0856" w:rsidRDefault="00EA0856" w:rsidP="00EA0856">
                  <w:pPr>
                    <w:jc w:val="center"/>
                  </w:pPr>
                  <w:r>
                    <w:t>FC-10-F120G-950-02-12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6A3F5AF2" w14:textId="77777777" w:rsidR="00EA0856" w:rsidRDefault="00EA0856" w:rsidP="00EA0856">
                  <w:pPr>
                    <w:rPr>
                      <w:lang w:val="en-US"/>
                    </w:rPr>
                  </w:pPr>
                  <w:r>
                    <w:rPr>
                      <w:lang w:val="en-US"/>
                    </w:rPr>
                    <w:t xml:space="preserve">FortiGate-120G 1 Year Unified Threat Protection (UTP) (IPS, Advanced Malware Protection, Application Control, URL, DNS &amp; Video Filtering, </w:t>
                  </w:r>
                  <w:r>
                    <w:rPr>
                      <w:lang w:val="en-US"/>
                    </w:rPr>
                    <w:lastRenderedPageBreak/>
                    <w:t xml:space="preserve">Antispam Service, and </w:t>
                  </w:r>
                  <w:proofErr w:type="spellStart"/>
                  <w:r>
                    <w:rPr>
                      <w:lang w:val="en-US"/>
                    </w:rPr>
                    <w:t>FortiCare</w:t>
                  </w:r>
                  <w:proofErr w:type="spellEnd"/>
                  <w:r>
                    <w:rPr>
                      <w:lang w:val="en-US"/>
                    </w:rPr>
                    <w:t xml:space="preserve"> Premium)</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B90EFAD" w14:textId="77777777" w:rsidR="00EA0856" w:rsidRDefault="00EA0856" w:rsidP="00EA0856">
                  <w:pPr>
                    <w:jc w:val="center"/>
                  </w:pPr>
                  <w:r>
                    <w:lastRenderedPageBreak/>
                    <w:t>13</w:t>
                  </w:r>
                </w:p>
              </w:tc>
            </w:tr>
            <w:tr w:rsidR="00EA0856" w14:paraId="6B575CD2"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2B145DD5" w14:textId="77777777" w:rsidR="00EA0856" w:rsidRDefault="00EA0856" w:rsidP="00EA0856">
                  <w:pPr>
                    <w:jc w:val="center"/>
                  </w:pPr>
                  <w:r>
                    <w:t>FC-10-148FN-247-02-12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476088BF" w14:textId="77777777" w:rsidR="00EA0856" w:rsidRDefault="00EA0856" w:rsidP="00EA0856">
                  <w:pPr>
                    <w:rPr>
                      <w:lang w:val="en-US"/>
                    </w:rPr>
                  </w:pPr>
                  <w:r>
                    <w:rPr>
                      <w:lang w:val="en-US"/>
                    </w:rPr>
                    <w:t xml:space="preserve">FortiSwitch-148F 1 Year </w:t>
                  </w:r>
                  <w:proofErr w:type="spellStart"/>
                  <w:r>
                    <w:rPr>
                      <w:lang w:val="en-US"/>
                    </w:rPr>
                    <w:t>FortiCare</w:t>
                  </w:r>
                  <w:proofErr w:type="spellEnd"/>
                  <w:r>
                    <w:rPr>
                      <w:lang w:val="en-US"/>
                    </w:rPr>
                    <w:t xml:space="preserve"> Premium Support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D6AF574" w14:textId="77777777" w:rsidR="00EA0856" w:rsidRDefault="00EA0856" w:rsidP="00EA0856">
                  <w:pPr>
                    <w:jc w:val="center"/>
                  </w:pPr>
                  <w:r>
                    <w:t>13</w:t>
                  </w:r>
                </w:p>
              </w:tc>
            </w:tr>
            <w:tr w:rsidR="00EA0856" w14:paraId="70420A7A"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1190E3E5" w14:textId="77777777" w:rsidR="00EA0856" w:rsidRDefault="00EA0856" w:rsidP="00EA0856">
                  <w:pPr>
                    <w:jc w:val="center"/>
                  </w:pPr>
                  <w:r>
                    <w:t>FC-10-FSM2G-247-02-12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7E83888D" w14:textId="77777777" w:rsidR="00EA0856" w:rsidRDefault="00EA0856" w:rsidP="00EA0856">
                  <w:pPr>
                    <w:rPr>
                      <w:lang w:val="en-US"/>
                    </w:rPr>
                  </w:pPr>
                  <w:r>
                    <w:rPr>
                      <w:lang w:val="en-US"/>
                    </w:rPr>
                    <w:t xml:space="preserve">FortiSIEM-2000G 1 Year </w:t>
                  </w:r>
                  <w:proofErr w:type="spellStart"/>
                  <w:r>
                    <w:rPr>
                      <w:lang w:val="en-US"/>
                    </w:rPr>
                    <w:t>FortiCare</w:t>
                  </w:r>
                  <w:proofErr w:type="spellEnd"/>
                  <w:r>
                    <w:rPr>
                      <w:lang w:val="en-US"/>
                    </w:rPr>
                    <w:t xml:space="preserve"> Premium Support - Hardware Appliance only - product support required separately.</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71A8A8D" w14:textId="77777777" w:rsidR="00EA0856" w:rsidRDefault="00EA0856" w:rsidP="00EA0856">
                  <w:pPr>
                    <w:jc w:val="center"/>
                  </w:pPr>
                  <w:r>
                    <w:t>1</w:t>
                  </w:r>
                </w:p>
              </w:tc>
            </w:tr>
            <w:tr w:rsidR="00EA0856" w14:paraId="7ABBA92D"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3098E08F" w14:textId="77777777" w:rsidR="00EA0856" w:rsidRDefault="00EA0856" w:rsidP="00EA0856">
                  <w:pPr>
                    <w:jc w:val="center"/>
                  </w:pPr>
                  <w:r>
                    <w:t>FC2-10-FSM99-240-02-12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73EB99B3" w14:textId="77777777" w:rsidR="00EA0856" w:rsidRDefault="00EA0856" w:rsidP="00EA0856">
                  <w:pPr>
                    <w:rPr>
                      <w:lang w:val="en-US"/>
                    </w:rPr>
                  </w:pPr>
                  <w:proofErr w:type="spellStart"/>
                  <w:r>
                    <w:rPr>
                      <w:lang w:val="en-US"/>
                    </w:rPr>
                    <w:t>FortiCare</w:t>
                  </w:r>
                  <w:proofErr w:type="spellEnd"/>
                  <w:r>
                    <w:rPr>
                      <w:lang w:val="en-US"/>
                    </w:rPr>
                    <w:t xml:space="preserve"> Support for Hardware based </w:t>
                  </w:r>
                  <w:proofErr w:type="spellStart"/>
                  <w:r>
                    <w:rPr>
                      <w:lang w:val="en-US"/>
                    </w:rPr>
                    <w:t>FortiSIEM</w:t>
                  </w:r>
                  <w:proofErr w:type="spellEnd"/>
                  <w:r>
                    <w:rPr>
                      <w:lang w:val="en-US"/>
                    </w:rPr>
                    <w:t xml:space="preserve"> deployments 1 Year </w:t>
                  </w:r>
                  <w:proofErr w:type="spellStart"/>
                  <w:r>
                    <w:rPr>
                      <w:lang w:val="en-US"/>
                    </w:rPr>
                    <w:t>FortiCare</w:t>
                  </w:r>
                  <w:proofErr w:type="spellEnd"/>
                  <w:r>
                    <w:rPr>
                      <w:lang w:val="en-US"/>
                    </w:rPr>
                    <w:t xml:space="preserve"> Premium License Support (1 - 100 points) for </w:t>
                  </w:r>
                  <w:proofErr w:type="spellStart"/>
                  <w:r>
                    <w:rPr>
                      <w:lang w:val="en-US"/>
                    </w:rPr>
                    <w:t>FortiSIEM</w:t>
                  </w:r>
                  <w:proofErr w:type="spellEnd"/>
                  <w:r>
                    <w:rPr>
                      <w:lang w:val="en-US"/>
                    </w:rPr>
                    <w:t xml:space="preserve"> hardware appliance. 1 "Device" or 2 "End points" or 3 "Advanced Agents - Log &amp; FIM" or 10 "Advanced Agents - UEBA Telemetry" equals 1 point.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0745A5F" w14:textId="77777777" w:rsidR="00EA0856" w:rsidRDefault="00EA0856" w:rsidP="00EA0856">
                  <w:pPr>
                    <w:jc w:val="center"/>
                  </w:pPr>
                  <w:r>
                    <w:t>1</w:t>
                  </w:r>
                </w:p>
              </w:tc>
            </w:tr>
            <w:tr w:rsidR="00EA0856" w14:paraId="20ADF075"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0C562C2C" w14:textId="77777777" w:rsidR="00EA0856" w:rsidRDefault="00EA0856" w:rsidP="00EA0856">
                  <w:pPr>
                    <w:jc w:val="center"/>
                  </w:pPr>
                  <w:r>
                    <w:t>FC-10-L150G-247-02-12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60E93B2C" w14:textId="77777777" w:rsidR="00EA0856" w:rsidRDefault="00EA0856" w:rsidP="00EA0856">
                  <w:pPr>
                    <w:rPr>
                      <w:lang w:val="en-US"/>
                    </w:rPr>
                  </w:pPr>
                  <w:r>
                    <w:rPr>
                      <w:lang w:val="en-US"/>
                    </w:rPr>
                    <w:t xml:space="preserve">FortiAnalyzer-150G 1 Year </w:t>
                  </w:r>
                  <w:proofErr w:type="spellStart"/>
                  <w:r>
                    <w:rPr>
                      <w:lang w:val="en-US"/>
                    </w:rPr>
                    <w:t>FortiCare</w:t>
                  </w:r>
                  <w:proofErr w:type="spellEnd"/>
                  <w:r>
                    <w:rPr>
                      <w:lang w:val="en-US"/>
                    </w:rPr>
                    <w:t xml:space="preserve"> Premium Support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E8FE0BF" w14:textId="77777777" w:rsidR="00EA0856" w:rsidRDefault="00EA0856" w:rsidP="00EA0856">
                  <w:pPr>
                    <w:jc w:val="center"/>
                  </w:pPr>
                  <w:r>
                    <w:t>1</w:t>
                  </w:r>
                </w:p>
              </w:tc>
            </w:tr>
            <w:tr w:rsidR="00EA0856" w14:paraId="7EFA19A3"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4BEE6FBA" w14:textId="77777777" w:rsidR="00EA0856" w:rsidRDefault="00EA0856" w:rsidP="00EA0856">
                  <w:pPr>
                    <w:jc w:val="center"/>
                  </w:pPr>
                  <w:r>
                    <w:t>FC-10-FE2HF-641-02-12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15410764" w14:textId="77777777" w:rsidR="00EA0856" w:rsidRDefault="00EA0856" w:rsidP="00EA0856">
                  <w:pPr>
                    <w:rPr>
                      <w:lang w:val="en-US"/>
                    </w:rPr>
                  </w:pPr>
                  <w:r>
                    <w:rPr>
                      <w:lang w:val="en-US"/>
                    </w:rPr>
                    <w:t xml:space="preserve">FortiMail-200F 1 Year </w:t>
                  </w:r>
                  <w:proofErr w:type="spellStart"/>
                  <w:r>
                    <w:rPr>
                      <w:lang w:val="en-US"/>
                    </w:rPr>
                    <w:t>FortiCare</w:t>
                  </w:r>
                  <w:proofErr w:type="spellEnd"/>
                  <w:r>
                    <w:rPr>
                      <w:lang w:val="en-US"/>
                    </w:rPr>
                    <w:t xml:space="preserve"> Premium and FortiGuard Enterprise ATP Bundle Contract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AC5527A" w14:textId="77777777" w:rsidR="00EA0856" w:rsidRDefault="00EA0856" w:rsidP="00EA0856">
                  <w:pPr>
                    <w:jc w:val="center"/>
                  </w:pPr>
                  <w:r>
                    <w:t>1</w:t>
                  </w:r>
                </w:p>
              </w:tc>
            </w:tr>
          </w:tbl>
          <w:p w14:paraId="235848A5" w14:textId="77777777" w:rsidR="00EA0856" w:rsidRPr="00B61568" w:rsidRDefault="00EA0856" w:rsidP="00B61568">
            <w:pPr>
              <w:jc w:val="both"/>
              <w:rPr>
                <w:color w:val="auto"/>
                <w:lang w:val="kk-KZ"/>
              </w:rPr>
            </w:pPr>
          </w:p>
        </w:tc>
      </w:tr>
      <w:tr w:rsidR="001B5324" w:rsidRPr="00E735A5"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77777777" w:rsidR="001B5324" w:rsidRPr="00C83FB0" w:rsidRDefault="00310771" w:rsidP="001B5324">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122CEA7" w14:textId="77777777" w:rsidR="00B61568" w:rsidRPr="00B61568" w:rsidRDefault="00B61568" w:rsidP="00B61568">
            <w:pPr>
              <w:jc w:val="both"/>
              <w:rPr>
                <w:color w:val="auto"/>
                <w:lang w:val="kk-KZ"/>
              </w:rPr>
            </w:pPr>
            <w:r w:rsidRPr="00B61568">
              <w:rPr>
                <w:color w:val="auto"/>
                <w:lang w:val="kk-KZ"/>
              </w:rPr>
              <w:t xml:space="preserve">Іске асыру шеңберінде мынадай қызметтер орындалуы тиіс: </w:t>
            </w:r>
          </w:p>
          <w:p w14:paraId="0F5EBD54" w14:textId="77777777" w:rsidR="00B61568" w:rsidRPr="00B61568" w:rsidRDefault="00B61568" w:rsidP="00B61568">
            <w:pPr>
              <w:jc w:val="both"/>
              <w:rPr>
                <w:color w:val="auto"/>
                <w:lang w:val="kk-KZ"/>
              </w:rPr>
            </w:pPr>
            <w:r w:rsidRPr="00B61568">
              <w:rPr>
                <w:color w:val="auto"/>
                <w:lang w:val="kk-KZ"/>
              </w:rPr>
              <w:t>1) қызмет көрсету аяқталғаннан кейін барлық лицензияларды тапсыру;</w:t>
            </w:r>
          </w:p>
          <w:p w14:paraId="09AA7342" w14:textId="4091FF21" w:rsidR="000D78DE" w:rsidRPr="005D43C5" w:rsidRDefault="00B61568" w:rsidP="00B61568">
            <w:pPr>
              <w:jc w:val="both"/>
              <w:rPr>
                <w:color w:val="auto"/>
                <w:lang w:val="kk-KZ"/>
              </w:rPr>
            </w:pPr>
            <w:r w:rsidRPr="00B61568">
              <w:rPr>
                <w:color w:val="auto"/>
                <w:lang w:val="kk-KZ"/>
              </w:rPr>
              <w:t>2) Көрсетілген қызметтер актісіне қол қойылған күннен бастап 12 ай ішінде Өндірушінің техникалық қолдауын қамтамасыз ету. Техникалық қолдау Fortinet шарттарына сәйкес бағдарламалық қамтымды жаңартуларына қол жеткізуді, кеңес беруді және ақауларды жоюды қамтуы керек.</w:t>
            </w:r>
          </w:p>
        </w:tc>
      </w:tr>
      <w:tr w:rsidR="001B5324" w:rsidRPr="00E735A5"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77777777" w:rsidR="001B5324" w:rsidRPr="00091133" w:rsidRDefault="00310771" w:rsidP="001B5324">
            <w:pPr>
              <w:textAlignment w:val="baseline"/>
              <w:rPr>
                <w:lang w:val="kk-KZ"/>
              </w:rPr>
            </w:pPr>
            <w:r w:rsidRPr="00091133">
              <w:rPr>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56CC285" w14:textId="77777777" w:rsidR="00B61568" w:rsidRPr="00B61568" w:rsidRDefault="00B61568" w:rsidP="00B61568">
            <w:pPr>
              <w:jc w:val="both"/>
              <w:rPr>
                <w:color w:val="auto"/>
                <w:lang w:val="kk-KZ"/>
              </w:rPr>
            </w:pPr>
            <w:r w:rsidRPr="00B61568">
              <w:rPr>
                <w:color w:val="auto"/>
                <w:lang w:val="kk-KZ"/>
              </w:rPr>
              <w:t>1) Қызмет көрсету бойынша біліктілікті растау үшін әлеуетті жеткізуші конкурстық өтінім құрамында Fortinet жабдықтарымен жұмыс бағыты бойынша сертификат ұсынуы тиіс.</w:t>
            </w:r>
          </w:p>
          <w:p w14:paraId="086F20E4" w14:textId="77777777" w:rsidR="00B61568" w:rsidRPr="00B61568" w:rsidRDefault="00B61568" w:rsidP="00B61568">
            <w:pPr>
              <w:jc w:val="both"/>
              <w:rPr>
                <w:color w:val="auto"/>
                <w:lang w:val="kk-KZ"/>
              </w:rPr>
            </w:pPr>
            <w:r w:rsidRPr="00B61568">
              <w:rPr>
                <w:color w:val="auto"/>
                <w:lang w:val="kk-KZ"/>
              </w:rPr>
              <w:t>2) Әлеуетті жеткізуші осы конкурс аясында Қазақстан Республикасының аумағында лицензиялар мен техникалық қолдауды жүзеге асыру құқығын растайтын Fortinet компаниясының растау хатын ұсынуы тиіс.</w:t>
            </w:r>
          </w:p>
          <w:p w14:paraId="69FBC88B" w14:textId="2A4D83A0" w:rsidR="006907F4" w:rsidRPr="000029FB" w:rsidRDefault="00B61568" w:rsidP="00B61568">
            <w:pPr>
              <w:jc w:val="both"/>
              <w:rPr>
                <w:color w:val="auto"/>
                <w:lang w:val="kk-KZ"/>
              </w:rPr>
            </w:pPr>
            <w:r w:rsidRPr="00B61568">
              <w:rPr>
                <w:color w:val="auto"/>
                <w:lang w:val="kk-KZ"/>
              </w:rPr>
              <w:t>3) Егер сертификаттар мен хаттар шет тілінде берілсе, орыс немесе қазақ тілдерінде нотариалды куәландырылған аудармасы ұсынылуы тиіс.</w:t>
            </w: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4FF8B587" w14:textId="77777777"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14:paraId="1358CEC4" w14:textId="77777777" w:rsidR="001B5324" w:rsidRPr="00817635" w:rsidRDefault="001B5324" w:rsidP="00AB60DD">
      <w:pPr>
        <w:rPr>
          <w:lang w:val="kk-KZ"/>
        </w:rPr>
      </w:pPr>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C1333"/>
    <w:multiLevelType w:val="hybridMultilevel"/>
    <w:tmpl w:val="92CAF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7" w15:restartNumberingAfterBreak="0">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2" w15:restartNumberingAfterBreak="0">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9"/>
  </w:num>
  <w:num w:numId="10">
    <w:abstractNumId w:val="11"/>
  </w:num>
  <w:num w:numId="11">
    <w:abstractNumId w:val="17"/>
  </w:num>
  <w:num w:numId="12">
    <w:abstractNumId w:val="15"/>
  </w:num>
  <w:num w:numId="13">
    <w:abstractNumId w:val="4"/>
  </w:num>
  <w:num w:numId="14">
    <w:abstractNumId w:val="7"/>
  </w:num>
  <w:num w:numId="15">
    <w:abstractNumId w:val="10"/>
  </w:num>
  <w:num w:numId="16">
    <w:abstractNumId w:val="18"/>
  </w:num>
  <w:num w:numId="17">
    <w:abstractNumId w:val="9"/>
  </w:num>
  <w:num w:numId="18">
    <w:abstractNumId w:val="3"/>
  </w:num>
  <w:num w:numId="19">
    <w:abstractNumId w:val="13"/>
  </w:num>
  <w:num w:numId="20">
    <w:abstractNumId w:val="8"/>
  </w:num>
  <w:num w:numId="21">
    <w:abstractNumId w:val="16"/>
  </w:num>
  <w:num w:numId="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E6"/>
    <w:rsid w:val="000029FB"/>
    <w:rsid w:val="00012977"/>
    <w:rsid w:val="000146F6"/>
    <w:rsid w:val="00015CA7"/>
    <w:rsid w:val="000179FF"/>
    <w:rsid w:val="00022AD9"/>
    <w:rsid w:val="0002705A"/>
    <w:rsid w:val="0004461E"/>
    <w:rsid w:val="00045952"/>
    <w:rsid w:val="00046B8F"/>
    <w:rsid w:val="00071E0C"/>
    <w:rsid w:val="000818D2"/>
    <w:rsid w:val="00085A7C"/>
    <w:rsid w:val="00091133"/>
    <w:rsid w:val="000A48BB"/>
    <w:rsid w:val="000A6815"/>
    <w:rsid w:val="000B4DA0"/>
    <w:rsid w:val="000B591A"/>
    <w:rsid w:val="000C0D8D"/>
    <w:rsid w:val="000C510A"/>
    <w:rsid w:val="000D78DE"/>
    <w:rsid w:val="000E7C71"/>
    <w:rsid w:val="000F09F7"/>
    <w:rsid w:val="000F2D26"/>
    <w:rsid w:val="0010350D"/>
    <w:rsid w:val="00121A90"/>
    <w:rsid w:val="00151E53"/>
    <w:rsid w:val="00154CF6"/>
    <w:rsid w:val="00160586"/>
    <w:rsid w:val="001605CE"/>
    <w:rsid w:val="0016315C"/>
    <w:rsid w:val="001745A1"/>
    <w:rsid w:val="0018510D"/>
    <w:rsid w:val="00186058"/>
    <w:rsid w:val="001B5324"/>
    <w:rsid w:val="0021271C"/>
    <w:rsid w:val="00232696"/>
    <w:rsid w:val="00233834"/>
    <w:rsid w:val="00233F66"/>
    <w:rsid w:val="00251223"/>
    <w:rsid w:val="00251CB0"/>
    <w:rsid w:val="00265EEC"/>
    <w:rsid w:val="002665AC"/>
    <w:rsid w:val="00272471"/>
    <w:rsid w:val="0028332C"/>
    <w:rsid w:val="0029061A"/>
    <w:rsid w:val="00292B2E"/>
    <w:rsid w:val="002949E7"/>
    <w:rsid w:val="00296042"/>
    <w:rsid w:val="002A14A0"/>
    <w:rsid w:val="002B47D1"/>
    <w:rsid w:val="002C44A8"/>
    <w:rsid w:val="002F1414"/>
    <w:rsid w:val="00310771"/>
    <w:rsid w:val="00313722"/>
    <w:rsid w:val="00316ED7"/>
    <w:rsid w:val="0032353A"/>
    <w:rsid w:val="00324F81"/>
    <w:rsid w:val="00374291"/>
    <w:rsid w:val="003A07D9"/>
    <w:rsid w:val="003A194D"/>
    <w:rsid w:val="003A59C2"/>
    <w:rsid w:val="003B2D4A"/>
    <w:rsid w:val="0041231B"/>
    <w:rsid w:val="004145E8"/>
    <w:rsid w:val="004152E0"/>
    <w:rsid w:val="00427FB4"/>
    <w:rsid w:val="00456B7A"/>
    <w:rsid w:val="004615A8"/>
    <w:rsid w:val="004638E9"/>
    <w:rsid w:val="004719D4"/>
    <w:rsid w:val="0047376C"/>
    <w:rsid w:val="00476C0A"/>
    <w:rsid w:val="0049336F"/>
    <w:rsid w:val="004B2571"/>
    <w:rsid w:val="004C3FE8"/>
    <w:rsid w:val="004D2800"/>
    <w:rsid w:val="004E44CE"/>
    <w:rsid w:val="004E7628"/>
    <w:rsid w:val="00521560"/>
    <w:rsid w:val="0052480A"/>
    <w:rsid w:val="00535E79"/>
    <w:rsid w:val="005452A3"/>
    <w:rsid w:val="00555D9D"/>
    <w:rsid w:val="00557AAC"/>
    <w:rsid w:val="00567391"/>
    <w:rsid w:val="005946CA"/>
    <w:rsid w:val="00596562"/>
    <w:rsid w:val="00596878"/>
    <w:rsid w:val="005A37F3"/>
    <w:rsid w:val="005A4E25"/>
    <w:rsid w:val="005A6C10"/>
    <w:rsid w:val="005C1D46"/>
    <w:rsid w:val="005C77AF"/>
    <w:rsid w:val="005D43C5"/>
    <w:rsid w:val="005E0C68"/>
    <w:rsid w:val="005E4027"/>
    <w:rsid w:val="005F54A0"/>
    <w:rsid w:val="00606AB9"/>
    <w:rsid w:val="006143EF"/>
    <w:rsid w:val="006202A8"/>
    <w:rsid w:val="00627E84"/>
    <w:rsid w:val="00647353"/>
    <w:rsid w:val="006647E4"/>
    <w:rsid w:val="006666A0"/>
    <w:rsid w:val="00671A4D"/>
    <w:rsid w:val="00685A57"/>
    <w:rsid w:val="006907F4"/>
    <w:rsid w:val="00697ED9"/>
    <w:rsid w:val="006A7372"/>
    <w:rsid w:val="006B1BA3"/>
    <w:rsid w:val="0071382E"/>
    <w:rsid w:val="00742630"/>
    <w:rsid w:val="00747A2C"/>
    <w:rsid w:val="00755956"/>
    <w:rsid w:val="00764F99"/>
    <w:rsid w:val="00767A6A"/>
    <w:rsid w:val="00776C96"/>
    <w:rsid w:val="00787578"/>
    <w:rsid w:val="007A0FA7"/>
    <w:rsid w:val="007A350E"/>
    <w:rsid w:val="007A5B8F"/>
    <w:rsid w:val="007C2556"/>
    <w:rsid w:val="007C78D2"/>
    <w:rsid w:val="00807A06"/>
    <w:rsid w:val="00817635"/>
    <w:rsid w:val="00821E53"/>
    <w:rsid w:val="00822905"/>
    <w:rsid w:val="00830ABC"/>
    <w:rsid w:val="00841AA6"/>
    <w:rsid w:val="00856484"/>
    <w:rsid w:val="008575EF"/>
    <w:rsid w:val="00860CC8"/>
    <w:rsid w:val="00883CEB"/>
    <w:rsid w:val="00886313"/>
    <w:rsid w:val="00893586"/>
    <w:rsid w:val="00896EFF"/>
    <w:rsid w:val="008A0001"/>
    <w:rsid w:val="008A7C75"/>
    <w:rsid w:val="008B3A8C"/>
    <w:rsid w:val="008D2C62"/>
    <w:rsid w:val="008D444A"/>
    <w:rsid w:val="008D725D"/>
    <w:rsid w:val="009037A4"/>
    <w:rsid w:val="00906668"/>
    <w:rsid w:val="00924555"/>
    <w:rsid w:val="00932D8B"/>
    <w:rsid w:val="0093319B"/>
    <w:rsid w:val="00965BFB"/>
    <w:rsid w:val="00974880"/>
    <w:rsid w:val="00974E68"/>
    <w:rsid w:val="0098069A"/>
    <w:rsid w:val="0098669F"/>
    <w:rsid w:val="0099521A"/>
    <w:rsid w:val="009A503F"/>
    <w:rsid w:val="009A7AC2"/>
    <w:rsid w:val="009A7FF0"/>
    <w:rsid w:val="009C00A1"/>
    <w:rsid w:val="009E5BE6"/>
    <w:rsid w:val="009F3B93"/>
    <w:rsid w:val="00A148AF"/>
    <w:rsid w:val="00A32758"/>
    <w:rsid w:val="00A356CE"/>
    <w:rsid w:val="00A72259"/>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314E9"/>
    <w:rsid w:val="00B37F99"/>
    <w:rsid w:val="00B43228"/>
    <w:rsid w:val="00B61568"/>
    <w:rsid w:val="00B637A4"/>
    <w:rsid w:val="00B722D6"/>
    <w:rsid w:val="00BA34C8"/>
    <w:rsid w:val="00BB42E6"/>
    <w:rsid w:val="00BB75FB"/>
    <w:rsid w:val="00BC3AAC"/>
    <w:rsid w:val="00BE49EB"/>
    <w:rsid w:val="00C0603A"/>
    <w:rsid w:val="00C06183"/>
    <w:rsid w:val="00C16A5D"/>
    <w:rsid w:val="00C17A0C"/>
    <w:rsid w:val="00C20C09"/>
    <w:rsid w:val="00C37AF3"/>
    <w:rsid w:val="00C4649C"/>
    <w:rsid w:val="00C46529"/>
    <w:rsid w:val="00C621B8"/>
    <w:rsid w:val="00C83FB0"/>
    <w:rsid w:val="00C861A6"/>
    <w:rsid w:val="00CA0781"/>
    <w:rsid w:val="00CA3E6C"/>
    <w:rsid w:val="00CA5689"/>
    <w:rsid w:val="00CB3D89"/>
    <w:rsid w:val="00CD2F6E"/>
    <w:rsid w:val="00CE0149"/>
    <w:rsid w:val="00D1046E"/>
    <w:rsid w:val="00D16EC4"/>
    <w:rsid w:val="00D17C5E"/>
    <w:rsid w:val="00D20FE8"/>
    <w:rsid w:val="00D34671"/>
    <w:rsid w:val="00D63FE1"/>
    <w:rsid w:val="00D711E9"/>
    <w:rsid w:val="00DA12DF"/>
    <w:rsid w:val="00DA4585"/>
    <w:rsid w:val="00DA77EA"/>
    <w:rsid w:val="00DC6766"/>
    <w:rsid w:val="00DD04E8"/>
    <w:rsid w:val="00DD361B"/>
    <w:rsid w:val="00DE244D"/>
    <w:rsid w:val="00DE3BA6"/>
    <w:rsid w:val="00DE6942"/>
    <w:rsid w:val="00DF29AA"/>
    <w:rsid w:val="00DF4F7D"/>
    <w:rsid w:val="00E209B9"/>
    <w:rsid w:val="00E22FEE"/>
    <w:rsid w:val="00E2306F"/>
    <w:rsid w:val="00E6246A"/>
    <w:rsid w:val="00E66277"/>
    <w:rsid w:val="00E6653D"/>
    <w:rsid w:val="00E66ABA"/>
    <w:rsid w:val="00E735A5"/>
    <w:rsid w:val="00E7496B"/>
    <w:rsid w:val="00E9290F"/>
    <w:rsid w:val="00EA0856"/>
    <w:rsid w:val="00EB109F"/>
    <w:rsid w:val="00EC495E"/>
    <w:rsid w:val="00ED4758"/>
    <w:rsid w:val="00EE1514"/>
    <w:rsid w:val="00EE785D"/>
    <w:rsid w:val="00EF1E7C"/>
    <w:rsid w:val="00EF46B9"/>
    <w:rsid w:val="00EF4CC8"/>
    <w:rsid w:val="00F114BA"/>
    <w:rsid w:val="00F13C28"/>
    <w:rsid w:val="00F1587E"/>
    <w:rsid w:val="00F303B7"/>
    <w:rsid w:val="00F461C5"/>
    <w:rsid w:val="00F54496"/>
    <w:rsid w:val="00F571E3"/>
    <w:rsid w:val="00F62297"/>
    <w:rsid w:val="00F62FFC"/>
    <w:rsid w:val="00F72665"/>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15:docId w15:val="{937BDD8B-C69A-41D8-A7BE-EE54BDCC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32C"/>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table" w:styleId="af">
    <w:name w:val="Table Grid"/>
    <w:basedOn w:val="a1"/>
    <w:uiPriority w:val="39"/>
    <w:rsid w:val="003B2D4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1983740">
      <w:bodyDiv w:val="1"/>
      <w:marLeft w:val="0"/>
      <w:marRight w:val="0"/>
      <w:marTop w:val="0"/>
      <w:marBottom w:val="0"/>
      <w:divBdr>
        <w:top w:val="none" w:sz="0" w:space="0" w:color="auto"/>
        <w:left w:val="none" w:sz="0" w:space="0" w:color="auto"/>
        <w:bottom w:val="none" w:sz="0" w:space="0" w:color="auto"/>
        <w:right w:val="none" w:sz="0" w:space="0" w:color="auto"/>
      </w:divBdr>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5545</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Виниченко</dc:creator>
  <cp:lastModifiedBy>Дмитрий Виниченко</cp:lastModifiedBy>
  <cp:revision>2</cp:revision>
  <dcterms:created xsi:type="dcterms:W3CDTF">2025-08-15T09:21:00Z</dcterms:created>
  <dcterms:modified xsi:type="dcterms:W3CDTF">2025-08-15T09:21:00Z</dcterms:modified>
</cp:coreProperties>
</file>