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02501C" w:rsidRPr="00A5184F" w:rsidRDefault="0002501C" w:rsidP="0002501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5184F">
        <w:rPr>
          <w:rFonts w:ascii="Times New Roman" w:eastAsia="Times New Roman" w:hAnsi="Times New Roman" w:cs="Times New Roman"/>
          <w:lang w:eastAsia="ru-RU"/>
        </w:rPr>
        <w:t xml:space="preserve">Наименование заказчика       </w:t>
      </w:r>
      <w:r w:rsidRPr="00975B5C">
        <w:rPr>
          <w:rFonts w:ascii="Times New Roman" w:eastAsia="Times New Roman" w:hAnsi="Times New Roman" w:cs="Times New Roman"/>
          <w:lang w:eastAsia="ru-RU"/>
        </w:rPr>
        <w:t>АО «</w:t>
      </w:r>
      <w:proofErr w:type="spellStart"/>
      <w:r w:rsidRPr="00975B5C">
        <w:rPr>
          <w:rFonts w:ascii="Times New Roman" w:eastAsia="Times New Roman" w:hAnsi="Times New Roman" w:cs="Times New Roman"/>
          <w:lang w:eastAsia="ru-RU"/>
        </w:rPr>
        <w:t>Казтелерадио</w:t>
      </w:r>
      <w:proofErr w:type="spellEnd"/>
      <w:r w:rsidRPr="00975B5C">
        <w:rPr>
          <w:rFonts w:ascii="Times New Roman" w:eastAsia="Times New Roman" w:hAnsi="Times New Roman" w:cs="Times New Roman"/>
          <w:lang w:eastAsia="ru-RU"/>
        </w:rPr>
        <w:t>»</w:t>
      </w:r>
      <w:r w:rsidRPr="00975B5C">
        <w:rPr>
          <w:rFonts w:ascii="Times New Roman" w:eastAsia="Times New Roman" w:hAnsi="Times New Roman" w:cs="Times New Roman"/>
          <w:lang w:eastAsia="ru-RU"/>
        </w:rPr>
        <w:br/>
        <w:t>Наименование организатора АО «</w:t>
      </w:r>
      <w:proofErr w:type="spellStart"/>
      <w:r w:rsidRPr="00975B5C">
        <w:rPr>
          <w:rFonts w:ascii="Times New Roman" w:eastAsia="Times New Roman" w:hAnsi="Times New Roman" w:cs="Times New Roman"/>
          <w:lang w:eastAsia="ru-RU"/>
        </w:rPr>
        <w:t>Казтелерадио</w:t>
      </w:r>
      <w:proofErr w:type="spellEnd"/>
      <w:r w:rsidRPr="00975B5C">
        <w:rPr>
          <w:rFonts w:ascii="Times New Roman" w:eastAsia="Times New Roman" w:hAnsi="Times New Roman" w:cs="Times New Roman"/>
          <w:lang w:eastAsia="ru-RU"/>
        </w:rPr>
        <w:t>»</w:t>
      </w:r>
      <w:r w:rsidRPr="00A5184F">
        <w:rPr>
          <w:rFonts w:ascii="Times New Roman" w:eastAsia="Times New Roman" w:hAnsi="Times New Roman" w:cs="Times New Roman"/>
          <w:b/>
          <w:lang w:eastAsia="ru-RU"/>
        </w:rPr>
        <w:br/>
      </w:r>
      <w:r w:rsidRPr="00A5184F">
        <w:rPr>
          <w:rFonts w:ascii="Times New Roman" w:eastAsia="Times New Roman" w:hAnsi="Times New Roman" w:cs="Times New Roman"/>
          <w:lang w:eastAsia="ru-RU"/>
        </w:rPr>
        <w:t>№ конкурса ____________________________________________________________</w:t>
      </w:r>
      <w:r w:rsidRPr="00A5184F">
        <w:rPr>
          <w:rFonts w:ascii="Times New Roman" w:eastAsia="Times New Roman" w:hAnsi="Times New Roman" w:cs="Times New Roman"/>
          <w:lang w:eastAsia="ru-RU"/>
        </w:rPr>
        <w:br/>
        <w:t>Наименование конкурса _________________________________________________</w:t>
      </w:r>
      <w:r w:rsidRPr="00A5184F">
        <w:rPr>
          <w:rFonts w:ascii="Times New Roman" w:eastAsia="Times New Roman" w:hAnsi="Times New Roman" w:cs="Times New Roman"/>
          <w:lang w:eastAsia="ru-RU"/>
        </w:rPr>
        <w:br/>
        <w:t>№ лота ________________________________________________________________</w:t>
      </w:r>
      <w:r w:rsidRPr="00A5184F">
        <w:rPr>
          <w:rFonts w:ascii="Times New Roman" w:eastAsia="Times New Roman" w:hAnsi="Times New Roman" w:cs="Times New Roman"/>
          <w:lang w:eastAsia="ru-RU"/>
        </w:rPr>
        <w:br/>
        <w:t xml:space="preserve">Наименование </w:t>
      </w:r>
      <w:r w:rsidRPr="00A5184F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975B5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75B5C" w:rsidRPr="00975B5C">
        <w:rPr>
          <w:rFonts w:ascii="Times New Roman" w:eastAsia="Times New Roman" w:hAnsi="Times New Roman" w:cs="Times New Roman"/>
          <w:bCs/>
          <w:lang w:eastAsia="ru-RU"/>
        </w:rPr>
        <w:t>Модернизация корпоративной сети в АО "</w:t>
      </w:r>
      <w:proofErr w:type="spellStart"/>
      <w:r w:rsidR="00975B5C" w:rsidRPr="00975B5C">
        <w:rPr>
          <w:rFonts w:ascii="Times New Roman" w:eastAsia="Times New Roman" w:hAnsi="Times New Roman" w:cs="Times New Roman"/>
          <w:bCs/>
          <w:lang w:eastAsia="ru-RU"/>
        </w:rPr>
        <w:t>Казтелерадио</w:t>
      </w:r>
      <w:proofErr w:type="spellEnd"/>
      <w:r w:rsidR="00975B5C" w:rsidRPr="00975B5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613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501C" w:rsidRPr="00A5184F">
              <w:rPr>
                <w:rFonts w:ascii="Times New Roman" w:eastAsia="Times New Roman" w:hAnsi="Times New Roman" w:cs="Times New Roman"/>
                <w:lang w:val="kk-KZ" w:eastAsia="ru-RU"/>
              </w:rPr>
              <w:t>Не требуется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295"/>
        <w:gridCol w:w="1501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975B5C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2C87"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975B5C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5B5C" w:rsidRPr="00AE57E5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Руководитель Проекта, имеющий сертификат по направлению PMP или IPMA. Сертификат должен быть актуальным и выдан аккредитованной компанией.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</w:t>
            </w:r>
            <w:proofErr w:type="gramStart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заверен нотариусом Проверка подлинности сертификата проводится</w:t>
            </w:r>
            <w:proofErr w:type="gramEnd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путем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проверки на сайте или отправки запроса аккредитованной компании.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по сетевой безопасности не ниже уровня профессионала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</w:t>
            </w:r>
            <w:proofErr w:type="gramStart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заверен нотариусом Проверка подлинности сертификата проводится</w:t>
            </w:r>
            <w:proofErr w:type="gramEnd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Специалист, обладающий сертификатом по решениям сетевой безопасности не ниже уровня специалиста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,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обладающий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сертификатом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Fortinet Certified Professional Security Operations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либо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Fortinet Certified Solution Specialist Security Operations.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в сертификационный орган, выдавший сертификат.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по решениям доступа с нулевым доверием не ниже уровня специалиста по поставляемому оборудованию.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</w:t>
            </w: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Специалист, обладающий сертификатом международного образца по стандарту «ISO/IEC 27001:2022 Требования к системам управления информационной безопасности «Ведущий аудитор». Сертификат должен быть актуальным и выдан аккредитованной компанией.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в сертификационный орган, выдавший сертификат.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CCIE </w:t>
            </w:r>
            <w:proofErr w:type="spellStart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Coll</w:t>
            </w:r>
            <w:proofErr w:type="gramStart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proofErr w:type="gramEnd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boration</w:t>
            </w:r>
            <w:proofErr w:type="spellEnd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не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75B5C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</w:tcPr>
          <w:p w:rsidR="00975B5C" w:rsidRPr="00A82202" w:rsidRDefault="00975B5C" w:rsidP="00975B5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Специалист, обладающий сертификатом CCNP </w:t>
            </w:r>
            <w:proofErr w:type="spellStart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Enterprise</w:t>
            </w:r>
            <w:proofErr w:type="spellEnd"/>
            <w:r w:rsidRPr="00A8220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Сертификат должен быть актуальным и выдан производителем оборудования. В подтверждение квалификации специалиста потенциальный поставщик в составе заявки на участие в закупках должен предоставить копию сертификата. В случае предоставления документов на иностранном языке, документ должен быть переведен на язык тендерной документации и заверен нотариусом. Проверка подлинности сертификата проводится путем проверки на сайте или отправки запроса производителю. Взаимозаменяемость допускается.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75B5C" w:rsidRPr="00975B5C" w:rsidRDefault="00975B5C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975B5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975B5C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E57E5" w:rsidRPr="00522C87" w:rsidRDefault="00AE57E5" w:rsidP="0002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975B5C" w:rsidRDefault="00AE57E5" w:rsidP="0097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02501C" w:rsidRDefault="0002501C">
      <w:r>
        <w:br w:type="page"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02501C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02501C" w:rsidRPr="00A5184F" w:rsidRDefault="00C023E1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C023E1">
        <w:rPr>
          <w:rFonts w:ascii="Times New Roman" w:hAnsi="Times New Roman" w:cs="Times New Roman"/>
          <w:sz w:val="24"/>
          <w:szCs w:val="24"/>
        </w:rPr>
        <w:t>     </w:t>
      </w:r>
      <w:r w:rsidR="0002501C" w:rsidRPr="00A5184F">
        <w:rPr>
          <w:rFonts w:ascii="Times New Roman" w:hAnsi="Times New Roman" w:cs="Times New Roman"/>
          <w:lang w:val="kk-KZ"/>
        </w:rPr>
        <w:t xml:space="preserve">Тапсырыс берушінің атауы </w:t>
      </w:r>
      <w:r w:rsidR="0002501C" w:rsidRPr="00975B5C">
        <w:rPr>
          <w:rFonts w:ascii="Times New Roman" w:hAnsi="Times New Roman" w:cs="Times New Roman"/>
          <w:lang w:val="kk-KZ"/>
        </w:rPr>
        <w:t>«Қазтелерадио» АҚ</w:t>
      </w:r>
    </w:p>
    <w:p w:rsidR="0002501C" w:rsidRPr="00A5184F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184F">
        <w:rPr>
          <w:rFonts w:ascii="Times New Roman" w:hAnsi="Times New Roman" w:cs="Times New Roman"/>
          <w:lang w:val="kk-KZ"/>
        </w:rPr>
        <w:t xml:space="preserve">Ұйымдастырушының атауы </w:t>
      </w:r>
      <w:r w:rsidRPr="00975B5C">
        <w:rPr>
          <w:rFonts w:ascii="Times New Roman" w:hAnsi="Times New Roman" w:cs="Times New Roman"/>
          <w:lang w:val="kk-KZ"/>
        </w:rPr>
        <w:t>«Қазтелерадио» АҚ</w:t>
      </w:r>
      <w:r w:rsidRPr="00A5184F">
        <w:rPr>
          <w:rFonts w:ascii="Times New Roman" w:hAnsi="Times New Roman" w:cs="Times New Roman"/>
          <w:lang w:val="kk-KZ"/>
        </w:rPr>
        <w:t xml:space="preserve"> </w:t>
      </w:r>
    </w:p>
    <w:p w:rsidR="0002501C" w:rsidRPr="00A5184F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184F">
        <w:rPr>
          <w:rFonts w:ascii="Times New Roman" w:hAnsi="Times New Roman" w:cs="Times New Roman"/>
          <w:lang w:val="kk-KZ"/>
        </w:rPr>
        <w:t>Конкурстың № __________________________________</w:t>
      </w:r>
    </w:p>
    <w:p w:rsidR="0002501C" w:rsidRPr="00A5184F" w:rsidRDefault="0002501C" w:rsidP="0002501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184F">
        <w:rPr>
          <w:rFonts w:ascii="Times New Roman" w:hAnsi="Times New Roman" w:cs="Times New Roman"/>
          <w:lang w:val="kk-KZ"/>
        </w:rPr>
        <w:t>Конкурстың атауы Лоттың № ______________________________________</w:t>
      </w:r>
    </w:p>
    <w:p w:rsidR="0002501C" w:rsidRPr="00A5184F" w:rsidRDefault="0002501C" w:rsidP="00025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5184F">
        <w:rPr>
          <w:rFonts w:ascii="Times New Roman" w:hAnsi="Times New Roman" w:cs="Times New Roman"/>
          <w:lang w:val="kk-KZ"/>
        </w:rPr>
        <w:t xml:space="preserve">Лоттың атауы </w:t>
      </w:r>
      <w:r w:rsidR="00975B5C" w:rsidRPr="00975B5C">
        <w:rPr>
          <w:rFonts w:ascii="Times New Roman" w:hAnsi="Times New Roman" w:cs="Times New Roman"/>
          <w:lang w:val="kk-KZ"/>
        </w:rPr>
        <w:t>"Қазтелерадио" АҚ корпоративтік желісін жаңғырту</w:t>
      </w:r>
    </w:p>
    <w:p w:rsidR="0002501C" w:rsidRPr="00522C87" w:rsidRDefault="0002501C" w:rsidP="00025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02501C" w:rsidRDefault="00C023E1" w:rsidP="000250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501C">
        <w:rPr>
          <w:rFonts w:ascii="Times New Roman" w:hAnsi="Times New Roman" w:cs="Times New Roman"/>
          <w:sz w:val="24"/>
          <w:szCs w:val="24"/>
          <w:lang w:val="kk-KZ"/>
        </w:rPr>
        <w:t>      1. Қазақстан Республикасының рұқсаттар мен хабарламалар туралы заңнамасына сәйкес жұмыстарды орындауға рұқсаттың (хабарламаның) болуы.</w:t>
      </w:r>
    </w:p>
    <w:p w:rsidR="00C023E1" w:rsidRPr="0002501C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501C">
        <w:rPr>
          <w:rFonts w:ascii="Times New Roman" w:hAnsi="Times New Roman" w:cs="Times New Roman"/>
          <w:sz w:val="24"/>
          <w:szCs w:val="24"/>
          <w:lang w:val="kk-KZ"/>
        </w:rPr>
        <w:t>      Егер жұмыстарды орындау т</w:t>
      </w:r>
      <w:bookmarkStart w:id="0" w:name="_GoBack"/>
      <w:bookmarkEnd w:id="0"/>
      <w:r w:rsidRPr="0002501C">
        <w:rPr>
          <w:rFonts w:ascii="Times New Roman" w:hAnsi="Times New Roman" w:cs="Times New Roman"/>
          <w:sz w:val="24"/>
          <w:szCs w:val="24"/>
          <w:lang w:val="kk-KZ"/>
        </w:rPr>
        <w:t>иісті рұқсат алуды, хабарлама жіберуді талап еткен жағдайда, мынадай мәліметтерді толтыру қажет.</w:t>
      </w:r>
    </w:p>
    <w:tbl>
      <w:tblPr>
        <w:tblW w:w="952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95F7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325"/>
        <w:gridCol w:w="1400"/>
      </w:tblGrid>
      <w:tr w:rsidR="00C023E1" w:rsidRPr="00C023E1" w:rsidTr="00C023E1">
        <w:trPr>
          <w:trHeight w:val="49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C023E1" w:rsidTr="00C023E1">
        <w:trPr>
          <w:trHeight w:val="5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95F7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435"/>
        <w:gridCol w:w="707"/>
      </w:tblGrid>
      <w:tr w:rsidR="00C023E1" w:rsidRPr="00C023E1" w:rsidTr="00C023E1">
        <w:trPr>
          <w:trHeight w:val="4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PMP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IPMA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ғыты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бар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менеджері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Сертификат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, нотариус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ңгейден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деңгейінен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желілі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шешімдері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Fortinet Certified Professional Security Operations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Fortinet Certified Solution Specialist Security Operations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органына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деңгейінен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нөлді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сеніммен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шешімдері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"ISO/IEC 27001:2022 "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жүйелеріне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стандарты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үлгідегі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органына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CCIE collaboration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75B5C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P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CCNP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оны</w:t>
            </w:r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жабдық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Маманның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растау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өтінім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көшірмесін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тендерлік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аударылып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нотариуспен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куәландырылуы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ұсқалығын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сайтта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өндірушіге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алмастыру</w:t>
            </w:r>
            <w:proofErr w:type="gram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975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75B5C" w:rsidRDefault="00975B5C" w:rsidP="00C023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C023E1" w:rsidTr="00C023E1">
        <w:trPr>
          <w:trHeight w:val="4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C023E1">
        <w:trPr>
          <w:trHeight w:val="4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AE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501C"/>
    <w:rsid w:val="004530F0"/>
    <w:rsid w:val="00522C87"/>
    <w:rsid w:val="005477C2"/>
    <w:rsid w:val="006E693C"/>
    <w:rsid w:val="00895F78"/>
    <w:rsid w:val="00975B5C"/>
    <w:rsid w:val="00A82202"/>
    <w:rsid w:val="00AE57E5"/>
    <w:rsid w:val="00B23667"/>
    <w:rsid w:val="00C023E1"/>
    <w:rsid w:val="00D010AE"/>
    <w:rsid w:val="00D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user</cp:lastModifiedBy>
  <cp:revision>5</cp:revision>
  <dcterms:created xsi:type="dcterms:W3CDTF">2025-11-14T12:34:00Z</dcterms:created>
  <dcterms:modified xsi:type="dcterms:W3CDTF">2025-12-24T11:05:00Z</dcterms:modified>
</cp:coreProperties>
</file>