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397"/>
        <w:jc w:val="right"/>
        <w:rPr/>
      </w:pPr>
      <w:r w:rsidDel="00000000" w:rsidR="00000000" w:rsidRPr="00000000">
        <w:rPr>
          <w:rtl w:val="0"/>
        </w:rPr>
        <w:t xml:space="preserve">Приложение 1-3</w:t>
      </w:r>
    </w:p>
    <w:p w:rsidR="00000000" w:rsidDel="00000000" w:rsidP="00000000" w:rsidRDefault="00000000" w:rsidRPr="00000000" w14:paraId="00000002">
      <w:pPr>
        <w:ind w:firstLine="397"/>
        <w:jc w:val="right"/>
        <w:rPr/>
      </w:pPr>
      <w:r w:rsidDel="00000000" w:rsidR="00000000" w:rsidRPr="00000000">
        <w:rPr>
          <w:rtl w:val="0"/>
        </w:rPr>
        <w:t xml:space="preserve">к </w:t>
      </w:r>
      <w:hyperlink r:id="rId7">
        <w:r w:rsidDel="00000000" w:rsidR="00000000" w:rsidRPr="00000000">
          <w:rPr>
            <w:color w:val="000080"/>
            <w:u w:val="single"/>
            <w:rtl w:val="0"/>
          </w:rPr>
          <w:t xml:space="preserve">Конкурсной документации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397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4">
      <w:pPr>
        <w:ind w:firstLine="397"/>
        <w:jc w:val="center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Квалификационные требования,</w:t>
        <w:br w:type="textWrapping"/>
        <w:t xml:space="preserve">предъявляемые к потенциальному поставщику при осуществлении государственных закупок работ (заполняется заказчиком)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7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Наименование заказчика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Наименование организатора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№ конкурса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Наименование конкурса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№ лота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Наименование лота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Потенциальный поставщик должен соответствовать следующим квалификационным требованиям: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1"/>
        <w:tblW w:w="9571.0" w:type="dxa"/>
        <w:jc w:val="center"/>
        <w:tblLayout w:type="fixed"/>
        <w:tblLook w:val="0400"/>
      </w:tblPr>
      <w:tblGrid>
        <w:gridCol w:w="957"/>
        <w:gridCol w:w="8614"/>
        <w:tblGridChange w:id="0">
          <w:tblGrid>
            <w:gridCol w:w="957"/>
            <w:gridCol w:w="8614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разрешения (уведомления)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360"/>
              <w:jc w:val="both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Поставщик обязан в составе конкурсной заявки предоставить Письмо от  официального  представителя (диллера)  производителя Оборудования, подтверждающее возможность Поставщика  выполнять Ремонт Оборудования  Заказчика на заводе – производителя, либо на его региональном сервис – центре, выданное не ранее 2021 года.</w:t>
            </w:r>
          </w:p>
        </w:tc>
      </w:tr>
    </w:tbl>
    <w:p w:rsidR="00000000" w:rsidDel="00000000" w:rsidP="00000000" w:rsidRDefault="00000000" w:rsidRPr="00000000" w14:paraId="00000015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6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Если выполнение работ не требует получения соответствующего разрешения, направления уведомления, то данные сведения не заполняются.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3. Не подлежать процедуре банкротства либо ликвидации.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4. Наличие необходимых материальных и трудовых ресурсов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Материальные ресурсы:</w:t>
      </w:r>
      <w:r w:rsidDel="00000000" w:rsidR="00000000" w:rsidRPr="00000000">
        <w:rPr>
          <w:rtl w:val="0"/>
        </w:rPr>
      </w:r>
    </w:p>
    <w:tbl>
      <w:tblPr>
        <w:tblStyle w:val="Table2"/>
        <w:tblW w:w="9571.000000000002" w:type="dxa"/>
        <w:jc w:val="center"/>
        <w:tblLayout w:type="fixed"/>
        <w:tblLook w:val="0400"/>
      </w:tblPr>
      <w:tblGrid>
        <w:gridCol w:w="957"/>
        <w:gridCol w:w="6221"/>
        <w:gridCol w:w="2393"/>
        <w:tblGridChange w:id="0">
          <w:tblGrid>
            <w:gridCol w:w="957"/>
            <w:gridCol w:w="6221"/>
            <w:gridCol w:w="2393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материальных ресурсов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Количество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2">
      <w:pPr>
        <w:ind w:firstLine="397"/>
        <w:rPr/>
      </w:pPr>
      <w:r w:rsidDel="00000000" w:rsidR="00000000" w:rsidRPr="00000000">
        <w:rPr>
          <w:rtl w:val="0"/>
        </w:rPr>
        <w:t xml:space="preserve">Трудовые ресурсы:</w:t>
      </w:r>
    </w:p>
    <w:p w:rsidR="00000000" w:rsidDel="00000000" w:rsidP="00000000" w:rsidRDefault="00000000" w:rsidRPr="00000000" w14:paraId="00000023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9571.000000000002" w:type="dxa"/>
        <w:jc w:val="center"/>
        <w:tblLayout w:type="fixed"/>
        <w:tblLook w:val="0400"/>
      </w:tblPr>
      <w:tblGrid>
        <w:gridCol w:w="957"/>
        <w:gridCol w:w="6221"/>
        <w:gridCol w:w="2393"/>
        <w:tblGridChange w:id="0">
          <w:tblGrid>
            <w:gridCol w:w="957"/>
            <w:gridCol w:w="6221"/>
            <w:gridCol w:w="2393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трудовых ресурсов (специальность/квалификация)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Количество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B">
      <w:pPr>
        <w:ind w:firstLine="397"/>
        <w:rPr/>
      </w:pPr>
      <w:r w:rsidDel="00000000" w:rsidR="00000000" w:rsidRPr="00000000">
        <w:rPr>
          <w:rtl w:val="0"/>
        </w:rPr>
        <w:t xml:space="preserve">5. Наличие опыта работы в течение последних десяти лет, аналогичных (схожих) закупаемым на конкурсе</w:t>
      </w:r>
    </w:p>
    <w:p w:rsidR="00000000" w:rsidDel="00000000" w:rsidP="00000000" w:rsidRDefault="00000000" w:rsidRPr="00000000" w14:paraId="0000002C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4"/>
        <w:tblW w:w="9571.000000000002" w:type="dxa"/>
        <w:jc w:val="center"/>
        <w:tblLayout w:type="fixed"/>
        <w:tblLook w:val="0400"/>
      </w:tblPr>
      <w:tblGrid>
        <w:gridCol w:w="957"/>
        <w:gridCol w:w="6221"/>
        <w:gridCol w:w="2393"/>
        <w:tblGridChange w:id="0">
          <w:tblGrid>
            <w:gridCol w:w="957"/>
            <w:gridCol w:w="6221"/>
            <w:gridCol w:w="2393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предмета закупаемых работ (наименование лота)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Количество лет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firstLine="397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34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Примечание.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1. Каждая единица требуемых материальных и трудовых ресурсов указывается отдельной строкой.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39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color w:val="000000"/>
          <w:rtl w:val="0"/>
        </w:rPr>
        <w:t xml:space="preserve">2. Установление квалификационных требований, предъявляемых потенциальным поставщикам в иных документах, не допускается.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82DF2"/>
    <w:pPr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uiPriority w:val="99"/>
    <w:semiHidden w:val="1"/>
    <w:unhideWhenUsed w:val="1"/>
    <w:rsid w:val="00682DF2"/>
    <w:rPr>
      <w:color w:val="333399"/>
      <w:u w:val="single"/>
    </w:rPr>
  </w:style>
  <w:style w:type="character" w:styleId="s0" w:customStyle="1">
    <w:name w:val="s0"/>
    <w:rsid w:val="00682DF2"/>
    <w:rPr>
      <w:rFonts w:ascii="Times New Roman" w:cs="Times New Roman" w:hAnsi="Times New Roman" w:hint="default"/>
      <w:b w:val="0"/>
      <w:bCs w:val="0"/>
      <w:i w:val="0"/>
      <w:iCs w:val="0"/>
      <w:color w:val="000000"/>
    </w:rPr>
  </w:style>
  <w:style w:type="character" w:styleId="s2" w:customStyle="1">
    <w:name w:val="s2"/>
    <w:rsid w:val="00682DF2"/>
    <w:rPr>
      <w:rFonts w:ascii="Times New Roman" w:cs="Times New Roman" w:hAnsi="Times New Roman" w:hint="default"/>
      <w:color w:val="333399"/>
      <w:u w:val="single"/>
    </w:rPr>
  </w:style>
  <w:style w:type="character" w:styleId="s1" w:customStyle="1">
    <w:name w:val="s1"/>
    <w:rsid w:val="00682DF2"/>
    <w:rPr>
      <w:rFonts w:ascii="Times New Roman" w:cs="Times New Roman" w:hAnsi="Times New Roman" w:hint="default"/>
      <w:b w:val="1"/>
      <w:bCs w:val="1"/>
      <w:color w:val="000000"/>
    </w:rPr>
  </w:style>
  <w:style w:type="paragraph" w:styleId="a4">
    <w:name w:val="List Paragraph"/>
    <w:basedOn w:val="a"/>
    <w:link w:val="a5"/>
    <w:uiPriority w:val="34"/>
    <w:qFormat w:val="1"/>
    <w:rsid w:val="008E2F0C"/>
    <w:pPr>
      <w:ind w:left="720"/>
      <w:contextualSpacing w:val="1"/>
    </w:pPr>
  </w:style>
  <w:style w:type="character" w:styleId="a5" w:customStyle="1">
    <w:name w:val="Абзац списка Знак"/>
    <w:basedOn w:val="a0"/>
    <w:link w:val="a4"/>
    <w:uiPriority w:val="34"/>
    <w:locked w:val="1"/>
    <w:rsid w:val="008E2F0C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lEBqKCY0uazw3zBJSk4zKi3Gg==">AMUW2mUzECEtgZi8yTrmqfGpNbn2u9W+ZH3+kgTBEDeT8AttdRVXVIia3rvC41AWdCqtsfISU82GG/gbjqgKSB5adfFawrh9CGkG5q4kyjxq1vgOdZksSLoBvxS7wQNI3W1rdqgN/9si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2019-10-17T05:22:00Z</dcterms:created>
  <dc:creator>Serik Hamilin</dc:creator>
</cp:coreProperties>
</file>